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27" w:rsidRDefault="00DC0F55" w:rsidP="00B927E8">
      <w:pPr>
        <w:rPr>
          <w:noProof/>
        </w:rPr>
      </w:pPr>
      <w:r>
        <w:rPr>
          <w:noProof/>
        </w:rPr>
        <w:drawing>
          <wp:inline distT="0" distB="0" distL="0" distR="0">
            <wp:extent cx="1092200" cy="1092200"/>
            <wp:effectExtent l="0" t="0" r="0" b="0"/>
            <wp:docPr id="1" name="Picture 1"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logo_74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rsidR="00A85152" w:rsidRPr="00DC0F55" w:rsidRDefault="00E76DB1" w:rsidP="00C31CE3">
      <w:pPr>
        <w:jc w:val="center"/>
        <w:rPr>
          <w:noProof/>
          <w:u w:val="single"/>
        </w:rPr>
      </w:pPr>
      <w:r>
        <w:rPr>
          <w:noProof/>
        </w:rPr>
        <w:tab/>
      </w:r>
      <w:r>
        <w:rPr>
          <w:noProof/>
        </w:rPr>
        <w:tab/>
      </w:r>
      <w:r>
        <w:rPr>
          <w:noProof/>
        </w:rPr>
        <w:tab/>
      </w:r>
      <w:r>
        <w:rPr>
          <w:noProof/>
        </w:rPr>
        <w:tab/>
      </w:r>
      <w:r>
        <w:rPr>
          <w:noProof/>
        </w:rPr>
        <w:tab/>
      </w:r>
      <w:r>
        <w:rPr>
          <w:noProof/>
        </w:rPr>
        <w:tab/>
      </w:r>
      <w:r>
        <w:rPr>
          <w:noProof/>
        </w:rPr>
        <w:tab/>
        <w:t xml:space="preserve">Agenda Item  </w:t>
      </w:r>
      <w:r w:rsidR="00DC0F55">
        <w:rPr>
          <w:noProof/>
          <w:u w:val="single"/>
        </w:rPr>
        <w:t xml:space="preserve">_I-1  </w:t>
      </w:r>
      <w:bookmarkStart w:id="0" w:name="_GoBack"/>
      <w:bookmarkEnd w:id="0"/>
    </w:p>
    <w:p w:rsidR="00DE4EFF" w:rsidRDefault="00DE4EFF">
      <w:pPr>
        <w:rPr>
          <w:noProof/>
        </w:rPr>
      </w:pPr>
    </w:p>
    <w:p w:rsidR="00DE4EFF" w:rsidRPr="00DE4EFF" w:rsidRDefault="00DE4EFF" w:rsidP="00D212A0">
      <w:pPr>
        <w:jc w:val="both"/>
        <w:rPr>
          <w:b/>
          <w:noProof/>
        </w:rPr>
      </w:pPr>
      <w:r w:rsidRPr="00DE4EFF">
        <w:rPr>
          <w:b/>
          <w:noProof/>
        </w:rPr>
        <w:t>TO:</w:t>
      </w:r>
      <w:r w:rsidR="00816DF6">
        <w:rPr>
          <w:b/>
          <w:noProof/>
        </w:rPr>
        <w:tab/>
      </w:r>
      <w:r w:rsidR="00816DF6">
        <w:rPr>
          <w:b/>
          <w:noProof/>
        </w:rPr>
        <w:tab/>
        <w:t xml:space="preserve">APA California Chapter Board </w:t>
      </w:r>
    </w:p>
    <w:p w:rsidR="00DE4EFF" w:rsidRPr="00DE4EFF" w:rsidRDefault="00DE4EFF" w:rsidP="00D212A0">
      <w:pPr>
        <w:jc w:val="both"/>
        <w:rPr>
          <w:b/>
          <w:noProof/>
        </w:rPr>
      </w:pPr>
    </w:p>
    <w:p w:rsidR="00DE4EFF" w:rsidRDefault="00DE4EFF" w:rsidP="00D212A0">
      <w:pPr>
        <w:jc w:val="both"/>
        <w:rPr>
          <w:b/>
          <w:noProof/>
        </w:rPr>
      </w:pPr>
      <w:r w:rsidRPr="00DE4EFF">
        <w:rPr>
          <w:b/>
          <w:noProof/>
        </w:rPr>
        <w:t>FROM:</w:t>
      </w:r>
      <w:r w:rsidR="00816DF6">
        <w:rPr>
          <w:b/>
          <w:noProof/>
        </w:rPr>
        <w:tab/>
      </w:r>
      <w:r w:rsidR="00D35051">
        <w:rPr>
          <w:b/>
          <w:noProof/>
        </w:rPr>
        <w:t>Kurt Christiansen</w:t>
      </w:r>
      <w:r w:rsidR="004A0614">
        <w:rPr>
          <w:b/>
          <w:noProof/>
        </w:rPr>
        <w:t>,</w:t>
      </w:r>
      <w:r w:rsidR="00C31CE3">
        <w:rPr>
          <w:b/>
          <w:noProof/>
        </w:rPr>
        <w:t xml:space="preserve"> AICP</w:t>
      </w:r>
    </w:p>
    <w:p w:rsidR="00C31CE3" w:rsidRPr="00DE4EFF" w:rsidRDefault="00C31CE3" w:rsidP="00D212A0">
      <w:pPr>
        <w:jc w:val="both"/>
        <w:rPr>
          <w:b/>
          <w:noProof/>
        </w:rPr>
      </w:pPr>
      <w:r>
        <w:rPr>
          <w:b/>
          <w:noProof/>
        </w:rPr>
        <w:tab/>
      </w:r>
      <w:r>
        <w:rPr>
          <w:b/>
          <w:noProof/>
        </w:rPr>
        <w:tab/>
      </w:r>
      <w:r w:rsidR="004A0614">
        <w:rPr>
          <w:b/>
          <w:noProof/>
        </w:rPr>
        <w:t xml:space="preserve">VP </w:t>
      </w:r>
      <w:r w:rsidR="000027D5">
        <w:rPr>
          <w:b/>
          <w:noProof/>
        </w:rPr>
        <w:t>for</w:t>
      </w:r>
      <w:r w:rsidR="004A0614">
        <w:rPr>
          <w:b/>
          <w:noProof/>
        </w:rPr>
        <w:t xml:space="preserve"> Conferences</w:t>
      </w:r>
    </w:p>
    <w:p w:rsidR="00DE4EFF" w:rsidRPr="00DE4EFF" w:rsidRDefault="00DE4EFF" w:rsidP="00D212A0">
      <w:pPr>
        <w:jc w:val="both"/>
        <w:rPr>
          <w:b/>
          <w:noProof/>
        </w:rPr>
      </w:pPr>
    </w:p>
    <w:p w:rsidR="00DE4EFF" w:rsidRPr="00DE4EFF" w:rsidRDefault="00DE4EFF" w:rsidP="00D212A0">
      <w:pPr>
        <w:jc w:val="both"/>
        <w:rPr>
          <w:b/>
        </w:rPr>
      </w:pPr>
      <w:r w:rsidRPr="00DE4EFF">
        <w:rPr>
          <w:b/>
        </w:rPr>
        <w:t>DATE:</w:t>
      </w:r>
      <w:r w:rsidR="00C31CE3">
        <w:rPr>
          <w:b/>
        </w:rPr>
        <w:tab/>
      </w:r>
      <w:r w:rsidR="00D35051">
        <w:rPr>
          <w:b/>
        </w:rPr>
        <w:t>January 17/18, 2014</w:t>
      </w:r>
    </w:p>
    <w:p w:rsidR="00DE4EFF" w:rsidRPr="00DE4EFF" w:rsidRDefault="00DE4EFF" w:rsidP="00D212A0">
      <w:pPr>
        <w:jc w:val="both"/>
        <w:rPr>
          <w:b/>
        </w:rPr>
      </w:pPr>
    </w:p>
    <w:p w:rsidR="00DE4EFF" w:rsidRDefault="00DE4EFF" w:rsidP="004A0614">
      <w:pPr>
        <w:ind w:left="1440" w:hanging="1440"/>
        <w:jc w:val="both"/>
        <w:rPr>
          <w:b/>
        </w:rPr>
      </w:pPr>
      <w:r w:rsidRPr="00DE4EFF">
        <w:rPr>
          <w:b/>
        </w:rPr>
        <w:t>SUBJECT:</w:t>
      </w:r>
      <w:r w:rsidR="00816DF6">
        <w:rPr>
          <w:b/>
        </w:rPr>
        <w:tab/>
      </w:r>
      <w:r w:rsidR="000027D5">
        <w:rPr>
          <w:b/>
        </w:rPr>
        <w:t>Summary for 201</w:t>
      </w:r>
      <w:r w:rsidR="00D35051">
        <w:rPr>
          <w:b/>
        </w:rPr>
        <w:t>3</w:t>
      </w:r>
      <w:r w:rsidR="000027D5">
        <w:rPr>
          <w:b/>
        </w:rPr>
        <w:t xml:space="preserve"> </w:t>
      </w:r>
      <w:r w:rsidR="004A0614">
        <w:rPr>
          <w:b/>
        </w:rPr>
        <w:t>Conference</w:t>
      </w:r>
      <w:r w:rsidR="000027D5">
        <w:rPr>
          <w:b/>
        </w:rPr>
        <w:t xml:space="preserve"> (</w:t>
      </w:r>
      <w:r w:rsidR="00D35051">
        <w:rPr>
          <w:b/>
        </w:rPr>
        <w:t>Visalia</w:t>
      </w:r>
      <w:r w:rsidR="000027D5">
        <w:rPr>
          <w:b/>
        </w:rPr>
        <w:t>)</w:t>
      </w:r>
    </w:p>
    <w:p w:rsidR="004A0614" w:rsidRDefault="004A0614" w:rsidP="004A0614">
      <w:pPr>
        <w:ind w:left="1440" w:hanging="1440"/>
        <w:jc w:val="both"/>
      </w:pPr>
    </w:p>
    <w:p w:rsidR="00DE4EFF" w:rsidRPr="00DE4EFF" w:rsidRDefault="00DE4EFF" w:rsidP="00D212A0">
      <w:pPr>
        <w:jc w:val="both"/>
      </w:pPr>
      <w:r w:rsidRPr="00DE4EFF">
        <w:rPr>
          <w:u w:val="single"/>
        </w:rPr>
        <w:t>Recommended Action</w:t>
      </w:r>
      <w:r>
        <w:t>:</w:t>
      </w:r>
    </w:p>
    <w:p w:rsidR="00DE4EFF" w:rsidRDefault="00DE4EFF" w:rsidP="00D212A0">
      <w:pPr>
        <w:jc w:val="both"/>
      </w:pPr>
    </w:p>
    <w:p w:rsidR="00C31CE3" w:rsidRDefault="00C31CE3" w:rsidP="00D212A0">
      <w:pPr>
        <w:jc w:val="both"/>
      </w:pPr>
      <w:r>
        <w:t xml:space="preserve">It is recommended that the APA California Board </w:t>
      </w:r>
      <w:r w:rsidR="00240E9B">
        <w:t xml:space="preserve">receive the </w:t>
      </w:r>
      <w:r w:rsidR="000027D5">
        <w:t xml:space="preserve">summary </w:t>
      </w:r>
      <w:r w:rsidR="00240E9B">
        <w:t xml:space="preserve">for the </w:t>
      </w:r>
      <w:r w:rsidR="000027D5">
        <w:t>201</w:t>
      </w:r>
      <w:r w:rsidR="00D35051">
        <w:t>3</w:t>
      </w:r>
      <w:r w:rsidR="000027D5">
        <w:t xml:space="preserve"> </w:t>
      </w:r>
      <w:r w:rsidR="005F7109">
        <w:t xml:space="preserve">Conference hosted by the </w:t>
      </w:r>
      <w:r w:rsidR="00D35051">
        <w:t xml:space="preserve">Central Section </w:t>
      </w:r>
      <w:r w:rsidR="005F7109">
        <w:t xml:space="preserve">in </w:t>
      </w:r>
      <w:r w:rsidR="00D35051">
        <w:t>Visalia</w:t>
      </w:r>
      <w:r w:rsidR="00240E9B">
        <w:t>.</w:t>
      </w:r>
    </w:p>
    <w:p w:rsidR="00816DF6" w:rsidRPr="00816DF6" w:rsidRDefault="00816DF6" w:rsidP="00D212A0">
      <w:pPr>
        <w:jc w:val="both"/>
        <w:rPr>
          <w:i/>
        </w:rPr>
      </w:pPr>
    </w:p>
    <w:p w:rsidR="00DE4EFF" w:rsidRDefault="00DE4EFF" w:rsidP="00D212A0">
      <w:pPr>
        <w:jc w:val="both"/>
      </w:pPr>
      <w:r w:rsidRPr="00DE4EFF">
        <w:rPr>
          <w:u w:val="single"/>
        </w:rPr>
        <w:t>Background</w:t>
      </w:r>
      <w:r>
        <w:t>:</w:t>
      </w:r>
    </w:p>
    <w:p w:rsidR="00DE4EFF" w:rsidRDefault="00DE4EFF" w:rsidP="00D212A0">
      <w:pPr>
        <w:jc w:val="both"/>
      </w:pPr>
    </w:p>
    <w:p w:rsidR="007F5E70" w:rsidRDefault="003610EB" w:rsidP="00D212A0">
      <w:pPr>
        <w:jc w:val="both"/>
      </w:pPr>
      <w:r>
        <w:t xml:space="preserve">The </w:t>
      </w:r>
      <w:r w:rsidR="00AD0F83">
        <w:t>201</w:t>
      </w:r>
      <w:r w:rsidR="00D35051">
        <w:t>3</w:t>
      </w:r>
      <w:r w:rsidR="00AD0F83">
        <w:t xml:space="preserve"> </w:t>
      </w:r>
      <w:r>
        <w:t xml:space="preserve">APA California Conference was hosted by the </w:t>
      </w:r>
      <w:r w:rsidR="00D35051">
        <w:t>Central</w:t>
      </w:r>
      <w:r w:rsidR="000378C2">
        <w:t xml:space="preserve"> Section</w:t>
      </w:r>
      <w:r>
        <w:t xml:space="preserve">, </w:t>
      </w:r>
      <w:r w:rsidR="003F6B91">
        <w:t xml:space="preserve">October </w:t>
      </w:r>
      <w:r w:rsidR="00D35051">
        <w:t>6-9</w:t>
      </w:r>
      <w:r w:rsidR="007F5E70">
        <w:t>, 201</w:t>
      </w:r>
      <w:r w:rsidR="00D35051">
        <w:t>3</w:t>
      </w:r>
      <w:r>
        <w:t xml:space="preserve"> at </w:t>
      </w:r>
      <w:r w:rsidR="00D35051">
        <w:t xml:space="preserve">Visalia Marriott and Convention Center </w:t>
      </w:r>
      <w:r>
        <w:t>(</w:t>
      </w:r>
      <w:r w:rsidR="00D35051">
        <w:t>Visalia</w:t>
      </w:r>
      <w:r>
        <w:t>, CA).</w:t>
      </w:r>
      <w:r w:rsidR="00242B9F">
        <w:t xml:space="preserve"> </w:t>
      </w:r>
      <w:r w:rsidR="00037160">
        <w:t xml:space="preserve"> </w:t>
      </w:r>
      <w:r w:rsidR="00AD0F83">
        <w:t xml:space="preserve">Despite </w:t>
      </w:r>
      <w:r w:rsidR="00D35051">
        <w:t xml:space="preserve">a more remote location and the beginning of the State coming out of an </w:t>
      </w:r>
      <w:r w:rsidR="00AD0F83">
        <w:t xml:space="preserve">economic </w:t>
      </w:r>
      <w:r w:rsidR="00D35051">
        <w:t>recession, the</w:t>
      </w:r>
      <w:r w:rsidR="00AD0F83">
        <w:t xml:space="preserve"> </w:t>
      </w:r>
      <w:r w:rsidR="00D35051">
        <w:t>Central</w:t>
      </w:r>
      <w:r w:rsidR="003F6B91">
        <w:t xml:space="preserve"> </w:t>
      </w:r>
      <w:r w:rsidR="00AD0F83">
        <w:t xml:space="preserve">section working closely with the State </w:t>
      </w:r>
      <w:r w:rsidR="003F6B91">
        <w:t xml:space="preserve">resulted </w:t>
      </w:r>
      <w:r w:rsidR="00AD0F83">
        <w:t>in t</w:t>
      </w:r>
      <w:r w:rsidR="00037160">
        <w:t>he 201</w:t>
      </w:r>
      <w:r w:rsidR="00D35051">
        <w:t>3</w:t>
      </w:r>
      <w:r w:rsidR="00037160">
        <w:t xml:space="preserve"> </w:t>
      </w:r>
      <w:r w:rsidR="00AD0F83">
        <w:t xml:space="preserve">APA </w:t>
      </w:r>
      <w:r w:rsidR="00037160">
        <w:t xml:space="preserve">Conference </w:t>
      </w:r>
      <w:r w:rsidR="00AD0F83">
        <w:t>netting a</w:t>
      </w:r>
      <w:r w:rsidR="00D35051">
        <w:t>n approximately</w:t>
      </w:r>
      <w:r w:rsidR="00AD0F83">
        <w:t xml:space="preserve"> </w:t>
      </w:r>
      <w:r w:rsidR="00D35051">
        <w:t xml:space="preserve">a </w:t>
      </w:r>
      <w:r w:rsidR="00037160">
        <w:t>$</w:t>
      </w:r>
      <w:r w:rsidR="00D35051">
        <w:t>15</w:t>
      </w:r>
      <w:r w:rsidR="00381A5A">
        <w:t>0,000</w:t>
      </w:r>
      <w:r w:rsidR="00037160">
        <w:t xml:space="preserve"> profit</w:t>
      </w:r>
      <w:r w:rsidR="00381A5A">
        <w:t xml:space="preserve">. </w:t>
      </w:r>
    </w:p>
    <w:p w:rsidR="007F5E70" w:rsidRDefault="007F5E70" w:rsidP="00D212A0">
      <w:pPr>
        <w:jc w:val="both"/>
      </w:pPr>
    </w:p>
    <w:p w:rsidR="005F7109" w:rsidRDefault="00242B9F" w:rsidP="00D212A0">
      <w:pPr>
        <w:jc w:val="both"/>
      </w:pPr>
      <w:r>
        <w:t xml:space="preserve">This was the </w:t>
      </w:r>
      <w:r w:rsidR="00D35051">
        <w:t>fourth</w:t>
      </w:r>
      <w:r w:rsidR="003F6B91">
        <w:t xml:space="preserve"> </w:t>
      </w:r>
      <w:r w:rsidR="00614BDA">
        <w:t>year</w:t>
      </w:r>
      <w:r>
        <w:t xml:space="preserve"> sessions</w:t>
      </w:r>
      <w:r w:rsidR="00614BDA">
        <w:t xml:space="preserve"> and workshops</w:t>
      </w:r>
      <w:r>
        <w:t xml:space="preserve"> received pre-approved continuing maintenance credit to assist members with meeting the AICP continuing maintenance requirements. </w:t>
      </w:r>
      <w:r w:rsidR="00614BDA">
        <w:t xml:space="preserve">Additionally, this was the </w:t>
      </w:r>
      <w:r w:rsidR="00D35051">
        <w:t>fourth</w:t>
      </w:r>
      <w:r w:rsidR="00614BDA">
        <w:t xml:space="preserve"> </w:t>
      </w:r>
      <w:r>
        <w:t xml:space="preserve">year </w:t>
      </w:r>
      <w:r w:rsidR="00614BDA">
        <w:t>t</w:t>
      </w:r>
      <w:r>
        <w:t xml:space="preserve">he submittal of </w:t>
      </w:r>
      <w:r w:rsidR="00AD0F83">
        <w:t>“R</w:t>
      </w:r>
      <w:r>
        <w:t xml:space="preserve">equest for </w:t>
      </w:r>
      <w:r w:rsidR="00AD0F83">
        <w:t>P</w:t>
      </w:r>
      <w:r>
        <w:t>resentations</w:t>
      </w:r>
      <w:r w:rsidR="00AD0F83">
        <w:t>”</w:t>
      </w:r>
      <w:r>
        <w:t xml:space="preserve"> </w:t>
      </w:r>
      <w:r w:rsidR="00614BDA">
        <w:t xml:space="preserve">was </w:t>
      </w:r>
      <w:r w:rsidR="00AD0F83">
        <w:t xml:space="preserve">completed </w:t>
      </w:r>
      <w:r>
        <w:t xml:space="preserve">on-line. </w:t>
      </w:r>
      <w:r w:rsidR="00D35051">
        <w:t>This was the second year</w:t>
      </w:r>
      <w:r w:rsidR="003F6B91">
        <w:t xml:space="preserve"> the conference offered MCLE credits for 12 sessions.</w:t>
      </w:r>
    </w:p>
    <w:p w:rsidR="005F7109" w:rsidRDefault="005F7109" w:rsidP="00D212A0">
      <w:pPr>
        <w:jc w:val="both"/>
      </w:pPr>
    </w:p>
    <w:p w:rsidR="007F45B8" w:rsidRDefault="007F45B8" w:rsidP="007F45B8">
      <w:pPr>
        <w:jc w:val="both"/>
      </w:pPr>
      <w:r>
        <w:t xml:space="preserve">Several </w:t>
      </w:r>
      <w:r w:rsidR="00D112BF">
        <w:t>c</w:t>
      </w:r>
      <w:r>
        <w:t xml:space="preserve">onference innovations introduced by </w:t>
      </w:r>
      <w:r w:rsidR="00D35051">
        <w:t>previous Local Host Committees</w:t>
      </w:r>
      <w:r>
        <w:t xml:space="preserve"> </w:t>
      </w:r>
      <w:r w:rsidR="00D35051">
        <w:t>were implemented again in 2013</w:t>
      </w:r>
      <w:r w:rsidR="003F6B91">
        <w:t xml:space="preserve">, </w:t>
      </w:r>
      <w:r w:rsidR="00B01544">
        <w:t xml:space="preserve">including </w:t>
      </w:r>
      <w:r>
        <w:t>the mobile App and smaller dimensioned print program</w:t>
      </w:r>
      <w:r w:rsidR="00B01544">
        <w:t>.</w:t>
      </w:r>
      <w:r>
        <w:t xml:space="preserve"> </w:t>
      </w:r>
      <w:r w:rsidR="00C837D6">
        <w:t xml:space="preserve">Additionally, a golf tournament </w:t>
      </w:r>
      <w:r w:rsidR="00D35051">
        <w:t>was proposed, but only 6 people signed up and the tournament was turned into open play.</w:t>
      </w:r>
      <w:r w:rsidR="00C837D6">
        <w:t xml:space="preserve"> </w:t>
      </w:r>
      <w:r w:rsidR="0068165C" w:rsidRPr="00A40C3F">
        <w:t xml:space="preserve">The conference also maintained a strong commitment to sustainability as local produce was featured on the lunch and dinner menus at the host venue, </w:t>
      </w:r>
      <w:r w:rsidR="00D35051">
        <w:t>the Visalia Marriott</w:t>
      </w:r>
      <w:r w:rsidR="0068165C" w:rsidRPr="00A40C3F">
        <w:t xml:space="preserve">.  </w:t>
      </w:r>
    </w:p>
    <w:p w:rsidR="007F45B8" w:rsidRDefault="007F45B8" w:rsidP="00D212A0">
      <w:pPr>
        <w:jc w:val="both"/>
      </w:pPr>
    </w:p>
    <w:p w:rsidR="00B60EDC" w:rsidRDefault="00B60EDC" w:rsidP="00D212A0">
      <w:pPr>
        <w:jc w:val="both"/>
        <w:rPr>
          <w:u w:val="single"/>
        </w:rPr>
      </w:pPr>
      <w:r w:rsidRPr="00B60EDC">
        <w:rPr>
          <w:u w:val="single"/>
        </w:rPr>
        <w:t>Summary</w:t>
      </w:r>
      <w:r>
        <w:rPr>
          <w:u w:val="single"/>
        </w:rPr>
        <w:t>:</w:t>
      </w:r>
    </w:p>
    <w:p w:rsidR="00B60EDC" w:rsidRPr="00B60EDC" w:rsidRDefault="00B60EDC" w:rsidP="00D212A0">
      <w:pPr>
        <w:jc w:val="both"/>
      </w:pPr>
    </w:p>
    <w:p w:rsidR="007F45B8" w:rsidRDefault="006B0728" w:rsidP="007F45B8">
      <w:pPr>
        <w:jc w:val="both"/>
      </w:pPr>
      <w:r>
        <w:t>As with any event of this size, we received compliments and criticisms. The compliments</w:t>
      </w:r>
      <w:r w:rsidR="00530EA9">
        <w:t xml:space="preserve"> included</w:t>
      </w:r>
      <w:r>
        <w:t xml:space="preserve">: </w:t>
      </w:r>
      <w:r w:rsidR="00FF0249">
        <w:t xml:space="preserve">enjoyed </w:t>
      </w:r>
      <w:r>
        <w:t xml:space="preserve">the </w:t>
      </w:r>
      <w:r w:rsidR="00DC084D">
        <w:t xml:space="preserve">location and </w:t>
      </w:r>
      <w:r>
        <w:t xml:space="preserve">venue, </w:t>
      </w:r>
      <w:r w:rsidR="00F75B3C">
        <w:t xml:space="preserve">Pre-Conference Training, the healthy food choices at </w:t>
      </w:r>
      <w:r w:rsidR="00F75B3C">
        <w:lastRenderedPageBreak/>
        <w:t>the breaks</w:t>
      </w:r>
      <w:r w:rsidR="000C7286">
        <w:t xml:space="preserve">, </w:t>
      </w:r>
      <w:r>
        <w:t xml:space="preserve">input on sessions </w:t>
      </w:r>
      <w:r w:rsidR="00375A33">
        <w:t xml:space="preserve">and mobile workshops </w:t>
      </w:r>
      <w:r>
        <w:t>was generally positive</w:t>
      </w:r>
      <w:r w:rsidR="0068165C">
        <w:t xml:space="preserve">, </w:t>
      </w:r>
      <w:r w:rsidR="00F75B3C">
        <w:t>land use law updates and CEQA sessions</w:t>
      </w:r>
      <w:r w:rsidR="002B2456">
        <w:t xml:space="preserve"> always a hit</w:t>
      </w:r>
      <w:r w:rsidR="00F75B3C">
        <w:t xml:space="preserve">, the no conference bag option, </w:t>
      </w:r>
      <w:r w:rsidR="0068165C" w:rsidRPr="00A40C3F">
        <w:t>and everyone one appreciated having APA President</w:t>
      </w:r>
      <w:r w:rsidR="0068165C" w:rsidRPr="00A40C3F">
        <w:rPr>
          <w:b/>
        </w:rPr>
        <w:t xml:space="preserve"> </w:t>
      </w:r>
      <w:r w:rsidR="00F75B3C">
        <w:rPr>
          <w:rStyle w:val="Strong"/>
          <w:b w:val="0"/>
        </w:rPr>
        <w:t>Bill Anderson</w:t>
      </w:r>
      <w:r w:rsidR="00CD509A" w:rsidRPr="00A40C3F">
        <w:rPr>
          <w:rStyle w:val="Strong"/>
          <w:b w:val="0"/>
        </w:rPr>
        <w:t xml:space="preserve">, </w:t>
      </w:r>
      <w:r w:rsidR="00F75B3C">
        <w:rPr>
          <w:rStyle w:val="Strong"/>
          <w:b w:val="0"/>
        </w:rPr>
        <w:t>F</w:t>
      </w:r>
      <w:r w:rsidR="00CD509A" w:rsidRPr="00A40C3F">
        <w:rPr>
          <w:rStyle w:val="Strong"/>
          <w:b w:val="0"/>
        </w:rPr>
        <w:t>AICP</w:t>
      </w:r>
      <w:r w:rsidR="0068165C" w:rsidRPr="00A40C3F">
        <w:rPr>
          <w:rStyle w:val="Strong"/>
          <w:b w:val="0"/>
        </w:rPr>
        <w:t xml:space="preserve"> </w:t>
      </w:r>
      <w:r w:rsidR="00CD509A" w:rsidRPr="00A40C3F">
        <w:rPr>
          <w:rStyle w:val="Strong"/>
          <w:b w:val="0"/>
        </w:rPr>
        <w:t>attend our conference</w:t>
      </w:r>
      <w:r w:rsidR="00AD0F83" w:rsidRPr="00A40C3F">
        <w:t xml:space="preserve">. </w:t>
      </w:r>
      <w:r w:rsidR="00B60EDC" w:rsidRPr="00A40C3F">
        <w:t xml:space="preserve">Areas </w:t>
      </w:r>
      <w:r w:rsidR="00AD0F83" w:rsidRPr="00A40C3F">
        <w:t>fo</w:t>
      </w:r>
      <w:r w:rsidR="00AD0F83">
        <w:t xml:space="preserve">r </w:t>
      </w:r>
      <w:r w:rsidR="00B60EDC">
        <w:t>refinement</w:t>
      </w:r>
      <w:r w:rsidR="0068165C">
        <w:t xml:space="preserve"> </w:t>
      </w:r>
      <w:r w:rsidR="00B60EDC">
        <w:t>/</w:t>
      </w:r>
      <w:r w:rsidR="0068165C">
        <w:t xml:space="preserve"> </w:t>
      </w:r>
      <w:r w:rsidR="00AD0F83">
        <w:t xml:space="preserve">improvement: </w:t>
      </w:r>
      <w:r w:rsidR="0068165C">
        <w:t xml:space="preserve"> </w:t>
      </w:r>
      <w:r w:rsidR="00F75B3C">
        <w:t>The keynote speakers were not well received</w:t>
      </w:r>
      <w:r w:rsidR="0068165C" w:rsidRPr="00A40C3F">
        <w:t xml:space="preserve"> </w:t>
      </w:r>
      <w:r w:rsidR="00F75B3C">
        <w:t>and the closing speaker was a no show.  We got many complaints about the size of the bags.  Many comments were received about the limited space at the Marriott and having to use other hotels in the area. Complaints were received about having the Exhibitors in the hall ways. leading to congestion between sessions</w:t>
      </w:r>
      <w:r w:rsidR="00CD509A">
        <w:t xml:space="preserve"> </w:t>
      </w:r>
    </w:p>
    <w:p w:rsidR="0037206B" w:rsidRDefault="0037206B" w:rsidP="00D212A0">
      <w:pPr>
        <w:jc w:val="both"/>
      </w:pPr>
    </w:p>
    <w:p w:rsidR="005E1980" w:rsidRPr="005E1980" w:rsidRDefault="005E1980" w:rsidP="00D212A0">
      <w:pPr>
        <w:jc w:val="both"/>
        <w:rPr>
          <w:u w:val="single"/>
        </w:rPr>
      </w:pPr>
      <w:r w:rsidRPr="005E1980">
        <w:rPr>
          <w:u w:val="single"/>
        </w:rPr>
        <w:t>Programs/Sessions</w:t>
      </w:r>
    </w:p>
    <w:p w:rsidR="005E1980" w:rsidRDefault="005E1980" w:rsidP="00D212A0">
      <w:pPr>
        <w:jc w:val="both"/>
      </w:pPr>
    </w:p>
    <w:p w:rsidR="00F27B52" w:rsidRDefault="00742A4F" w:rsidP="00D212A0">
      <w:pPr>
        <w:jc w:val="both"/>
      </w:pPr>
      <w:r>
        <w:t xml:space="preserve">On–line Submittal of </w:t>
      </w:r>
      <w:r w:rsidR="00BF6524">
        <w:t>Presentations (</w:t>
      </w:r>
      <w:r>
        <w:t>Sessions</w:t>
      </w:r>
      <w:r w:rsidR="00BF6524">
        <w:t>)</w:t>
      </w:r>
      <w:r>
        <w:t xml:space="preserve">: </w:t>
      </w:r>
      <w:r w:rsidR="00242B9F">
        <w:t>While they were som</w:t>
      </w:r>
      <w:r w:rsidR="00BF6524">
        <w:t>e glitches with the on-line submitta</w:t>
      </w:r>
      <w:r w:rsidR="00242B9F">
        <w:t>l</w:t>
      </w:r>
      <w:r w:rsidR="00BF6524">
        <w:t>s</w:t>
      </w:r>
      <w:r w:rsidR="00242B9F">
        <w:t xml:space="preserve">, </w:t>
      </w:r>
      <w:r w:rsidR="00BF6524">
        <w:t xml:space="preserve">overall, this system has </w:t>
      </w:r>
      <w:r w:rsidR="00242B9F">
        <w:t xml:space="preserve">made the selection of sessions and providing </w:t>
      </w:r>
      <w:r>
        <w:t xml:space="preserve">the </w:t>
      </w:r>
      <w:r w:rsidR="00242B9F">
        <w:t xml:space="preserve">required information to National </w:t>
      </w:r>
      <w:r w:rsidR="000E59F5">
        <w:t xml:space="preserve">APA </w:t>
      </w:r>
      <w:r w:rsidR="00242B9F">
        <w:t xml:space="preserve">for continuing maintenance easier. </w:t>
      </w:r>
      <w:r w:rsidR="00BF6524">
        <w:t xml:space="preserve"> </w:t>
      </w:r>
      <w:r w:rsidR="00A974B2">
        <w:t xml:space="preserve">A suggestion for future on line submittal forms is to include the session </w:t>
      </w:r>
      <w:r w:rsidR="00F27B52">
        <w:t>moderator’s</w:t>
      </w:r>
      <w:r w:rsidR="00A974B2">
        <w:t xml:space="preserve"> phone number (there were occasions</w:t>
      </w:r>
      <w:r w:rsidR="00BF6524">
        <w:t xml:space="preserve"> in which the </w:t>
      </w:r>
      <w:r w:rsidR="009040D9">
        <w:t xml:space="preserve">Programs Committee </w:t>
      </w:r>
      <w:r w:rsidR="00BF6524">
        <w:t xml:space="preserve">sent </w:t>
      </w:r>
      <w:r w:rsidR="00A974B2">
        <w:t xml:space="preserve">emails </w:t>
      </w:r>
      <w:r w:rsidR="009040D9">
        <w:t xml:space="preserve">to session moderators </w:t>
      </w:r>
      <w:r w:rsidR="00BF6524">
        <w:t xml:space="preserve">with important conference information that required responses which went unanswered by the session </w:t>
      </w:r>
      <w:r w:rsidR="00F27B52">
        <w:t>moderator</w:t>
      </w:r>
      <w:r w:rsidR="00A974B2">
        <w:t>)</w:t>
      </w:r>
      <w:r w:rsidR="00BF6524">
        <w:t>.</w:t>
      </w:r>
      <w:r w:rsidR="00242B9F">
        <w:t xml:space="preserve"> </w:t>
      </w:r>
      <w:r w:rsidR="00D22C44">
        <w:t xml:space="preserve">Also, session moderators did not keep </w:t>
      </w:r>
      <w:r w:rsidR="009932CE">
        <w:t xml:space="preserve">the </w:t>
      </w:r>
      <w:r w:rsidR="00D22C44">
        <w:t xml:space="preserve">Programs Committee abreast of contact information changes for their panelists. </w:t>
      </w:r>
      <w:r w:rsidR="00F27B52">
        <w:t xml:space="preserve"> </w:t>
      </w:r>
      <w:r w:rsidR="009932CE">
        <w:t xml:space="preserve">A continuing session submittal issue </w:t>
      </w:r>
      <w:r w:rsidR="00F27B52">
        <w:t xml:space="preserve">requiring </w:t>
      </w:r>
      <w:r w:rsidR="009932CE">
        <w:t xml:space="preserve">better coordination </w:t>
      </w:r>
      <w:r w:rsidR="00F27B52">
        <w:t xml:space="preserve">is </w:t>
      </w:r>
      <w:r w:rsidR="009932CE">
        <w:t xml:space="preserve">submittal by Board members of their “Mandatory” session during the call for presentations. </w:t>
      </w:r>
    </w:p>
    <w:p w:rsidR="00F27B52" w:rsidRDefault="00F27B52" w:rsidP="00D212A0">
      <w:pPr>
        <w:jc w:val="both"/>
      </w:pPr>
    </w:p>
    <w:p w:rsidR="00C31CE3" w:rsidRDefault="009932CE" w:rsidP="00D212A0">
      <w:pPr>
        <w:jc w:val="both"/>
      </w:pPr>
      <w:r>
        <w:t xml:space="preserve">A solution to these continuing problems </w:t>
      </w:r>
      <w:r w:rsidR="00F27B52">
        <w:t xml:space="preserve">is </w:t>
      </w:r>
      <w:r w:rsidR="00D22C44">
        <w:t xml:space="preserve">that during “Call for Presentations” a member of the Programs Committee work closely with </w:t>
      </w:r>
      <w:r w:rsidR="00CD66FD">
        <w:t xml:space="preserve">and coordinate </w:t>
      </w:r>
      <w:r w:rsidR="00D22C44">
        <w:t xml:space="preserve">the various </w:t>
      </w:r>
      <w:r w:rsidR="00B01544">
        <w:t xml:space="preserve">State Board members, </w:t>
      </w:r>
      <w:r w:rsidR="00D22C44">
        <w:t>individuals</w:t>
      </w:r>
      <w:r w:rsidR="00CD66FD">
        <w:t xml:space="preserve"> or organizations</w:t>
      </w:r>
      <w:r w:rsidR="00D22C44">
        <w:t xml:space="preserve"> </w:t>
      </w:r>
      <w:r w:rsidR="00B01544">
        <w:t>that</w:t>
      </w:r>
      <w:r w:rsidR="00D22C44">
        <w:t xml:space="preserve"> are granted “mandatory sessions” </w:t>
      </w:r>
      <w:r w:rsidR="00B01544">
        <w:t>to submit their sessions during the “Call for Presentations”. Thi</w:t>
      </w:r>
      <w:r w:rsidR="002B2456">
        <w:t>s pro active approach by the Local Host Committee</w:t>
      </w:r>
      <w:r w:rsidR="00B01544">
        <w:t xml:space="preserve"> ensures on time submittal of the “mandatory sessions” and assists Laura with </w:t>
      </w:r>
      <w:r>
        <w:t xml:space="preserve">submitting the sessions for </w:t>
      </w:r>
      <w:r w:rsidR="00B01544">
        <w:t xml:space="preserve">CM approvals. </w:t>
      </w:r>
      <w:r w:rsidR="00D22C44">
        <w:t xml:space="preserve"> </w:t>
      </w:r>
    </w:p>
    <w:p w:rsidR="00242B9F" w:rsidRDefault="00242B9F" w:rsidP="00D212A0">
      <w:pPr>
        <w:jc w:val="both"/>
      </w:pPr>
    </w:p>
    <w:p w:rsidR="005E1980" w:rsidRDefault="005E1980" w:rsidP="00D212A0">
      <w:pPr>
        <w:jc w:val="both"/>
        <w:rPr>
          <w:u w:val="single"/>
        </w:rPr>
      </w:pPr>
      <w:r w:rsidRPr="005E1980">
        <w:rPr>
          <w:u w:val="single"/>
        </w:rPr>
        <w:t>Mobile Workshops</w:t>
      </w:r>
    </w:p>
    <w:p w:rsidR="005E1980" w:rsidRDefault="005E1980" w:rsidP="00D212A0">
      <w:pPr>
        <w:jc w:val="both"/>
        <w:rPr>
          <w:u w:val="single"/>
        </w:rPr>
      </w:pPr>
    </w:p>
    <w:p w:rsidR="00B01544" w:rsidRPr="00B01544" w:rsidRDefault="009932CE" w:rsidP="00D212A0">
      <w:pPr>
        <w:jc w:val="both"/>
      </w:pPr>
      <w:r>
        <w:t xml:space="preserve">The </w:t>
      </w:r>
      <w:r w:rsidR="004E098D" w:rsidRPr="00251950">
        <w:t>selection of mobile workshops was</w:t>
      </w:r>
      <w:r w:rsidR="0009394F" w:rsidRPr="00251950">
        <w:t xml:space="preserve"> reduced from the </w:t>
      </w:r>
      <w:r w:rsidR="004E098D" w:rsidRPr="00251950">
        <w:t xml:space="preserve">original </w:t>
      </w:r>
      <w:r w:rsidR="0040179A">
        <w:t>thirteen to seven</w:t>
      </w:r>
      <w:r w:rsidR="0009394F" w:rsidRPr="00251950">
        <w:t xml:space="preserve"> in response to demand</w:t>
      </w:r>
      <w:r w:rsidR="0040179A">
        <w:t xml:space="preserve"> and the Federal Government Shut down.  Three of the mobile workshops needed to be canceled because they were in some way related to a National Park or National Forest</w:t>
      </w:r>
      <w:r w:rsidR="00741D3A">
        <w:t xml:space="preserve"> and the Federal government was still shut down due to budget issues</w:t>
      </w:r>
      <w:r w:rsidR="0009394F" w:rsidRPr="00251950">
        <w:t xml:space="preserve">.  The </w:t>
      </w:r>
      <w:r w:rsidR="00741D3A">
        <w:t>most popular mobile workshop was the Downtown Visalia Trolley and Walking To</w:t>
      </w:r>
      <w:r w:rsidR="0009394F" w:rsidRPr="00251950">
        <w:t>ur</w:t>
      </w:r>
      <w:r w:rsidR="00F43F2A">
        <w:t>, showcasing the revit</w:t>
      </w:r>
      <w:r w:rsidR="00741D3A">
        <w:t>a</w:t>
      </w:r>
      <w:r w:rsidR="00F43F2A">
        <w:t>l</w:t>
      </w:r>
      <w:r w:rsidR="00741D3A">
        <w:t>ization of the Visalia Downtown.</w:t>
      </w:r>
      <w:r w:rsidR="0009394F" w:rsidRPr="00251950">
        <w:t xml:space="preserve"> </w:t>
      </w:r>
      <w:r w:rsidR="00741D3A">
        <w:t>It was unfortunate that the 2 Planning in the Park mobile workshop in the Sequoia National Park needed to be canceled</w:t>
      </w:r>
      <w:r w:rsidR="00F43F2A">
        <w:t>, as both were close to selling out.</w:t>
      </w:r>
    </w:p>
    <w:p w:rsidR="005E1980" w:rsidRDefault="005E1980" w:rsidP="00D212A0">
      <w:pPr>
        <w:jc w:val="both"/>
        <w:rPr>
          <w:u w:val="single"/>
        </w:rPr>
      </w:pPr>
    </w:p>
    <w:p w:rsidR="005E1980" w:rsidRPr="005E1980" w:rsidRDefault="005E1980" w:rsidP="00D212A0">
      <w:pPr>
        <w:jc w:val="both"/>
        <w:rPr>
          <w:u w:val="single"/>
        </w:rPr>
      </w:pPr>
      <w:r>
        <w:rPr>
          <w:u w:val="single"/>
        </w:rPr>
        <w:t>Volunteers</w:t>
      </w:r>
    </w:p>
    <w:p w:rsidR="00D11A6C" w:rsidRDefault="00D11A6C" w:rsidP="00D212A0">
      <w:pPr>
        <w:jc w:val="both"/>
      </w:pPr>
    </w:p>
    <w:p w:rsidR="00375A33" w:rsidRDefault="00C837D6" w:rsidP="0009394F">
      <w:pPr>
        <w:jc w:val="both"/>
        <w:rPr>
          <w:u w:val="single"/>
        </w:rPr>
      </w:pPr>
      <w:r>
        <w:t>Volunteers are an integral p</w:t>
      </w:r>
      <w:r w:rsidR="00D11A6C">
        <w:t xml:space="preserve">art of a successful conference and this year was not different. Both student and non student volunteers assisted </w:t>
      </w:r>
      <w:r w:rsidR="00D11A6C" w:rsidRPr="00251950">
        <w:t xml:space="preserve">with the golf event, mobile workshops, registration, sessions, and general assistance where needed.  </w:t>
      </w:r>
      <w:r w:rsidR="0009394F" w:rsidRPr="00251950">
        <w:t xml:space="preserve">While small stipends </w:t>
      </w:r>
      <w:r w:rsidR="009932CE">
        <w:t xml:space="preserve">were provided </w:t>
      </w:r>
      <w:r w:rsidR="0009394F" w:rsidRPr="00251950">
        <w:t xml:space="preserve">to qualifying volunteers, it was not a make-or-break enticement for most of those who helped out.  The volunteers </w:t>
      </w:r>
      <w:r w:rsidR="009932CE">
        <w:t xml:space="preserve">were happy to </w:t>
      </w:r>
      <w:r w:rsidR="0009394F" w:rsidRPr="00251950">
        <w:t xml:space="preserve">provide service to their colleagues, make some contacts and gain the experience of participating in a Chapter Conference.  </w:t>
      </w:r>
      <w:r w:rsidR="009932CE">
        <w:t>T</w:t>
      </w:r>
      <w:r w:rsidR="0009394F" w:rsidRPr="00251950">
        <w:t xml:space="preserve">he stipend should be continued, </w:t>
      </w:r>
      <w:r w:rsidR="009932CE">
        <w:t xml:space="preserve">however, </w:t>
      </w:r>
      <w:r w:rsidR="009932CE">
        <w:lastRenderedPageBreak/>
        <w:t xml:space="preserve">the </w:t>
      </w:r>
      <w:r w:rsidR="00F43F2A">
        <w:t>Local Host Committee</w:t>
      </w:r>
      <w:r w:rsidR="009932CE">
        <w:t xml:space="preserve"> is </w:t>
      </w:r>
      <w:r w:rsidR="0009394F" w:rsidRPr="00251950">
        <w:t>especially grateful for those who volunteered for the sake of volunteering</w:t>
      </w:r>
      <w:r w:rsidR="00251950">
        <w:t>.</w:t>
      </w:r>
      <w:r w:rsidR="0009394F">
        <w:t xml:space="preserve">  </w:t>
      </w:r>
      <w:r w:rsidR="004603B8">
        <w:t>Training of volunteers continues to require refinement, in particular those assisting at registration.</w:t>
      </w:r>
    </w:p>
    <w:p w:rsidR="00375A33" w:rsidRDefault="00375A33" w:rsidP="00644F68">
      <w:pPr>
        <w:ind w:right="-180"/>
        <w:rPr>
          <w:u w:val="single"/>
        </w:rPr>
      </w:pPr>
    </w:p>
    <w:p w:rsidR="00FC391D" w:rsidRDefault="00FC391D" w:rsidP="00644F68">
      <w:pPr>
        <w:ind w:right="-180"/>
      </w:pPr>
      <w:r w:rsidRPr="00FC391D">
        <w:rPr>
          <w:u w:val="single"/>
        </w:rPr>
        <w:t xml:space="preserve">Conference </w:t>
      </w:r>
      <w:r w:rsidR="00C35446">
        <w:rPr>
          <w:u w:val="single"/>
        </w:rPr>
        <w:t xml:space="preserve">Registration </w:t>
      </w:r>
      <w:r w:rsidRPr="00FC391D">
        <w:rPr>
          <w:u w:val="single"/>
        </w:rPr>
        <w:t>S</w:t>
      </w:r>
      <w:r w:rsidR="00242B9F" w:rsidRPr="00FC391D">
        <w:rPr>
          <w:u w:val="single"/>
        </w:rPr>
        <w:t>ummary:</w:t>
      </w:r>
      <w:r w:rsidR="00242B9F">
        <w:t xml:space="preserve"> </w:t>
      </w:r>
      <w:r w:rsidR="00315FF1">
        <w:t xml:space="preserve"> Taken from </w:t>
      </w:r>
      <w:r w:rsidR="00C35446">
        <w:t>Registration Forms</w:t>
      </w:r>
      <w:r w:rsidR="00242B9F">
        <w:t xml:space="preserve"> </w:t>
      </w:r>
      <w:r w:rsidR="00644F68">
        <w:t>&amp; Profit &amp; Loss Statement</w:t>
      </w:r>
      <w:r w:rsidR="000E59F5">
        <w:t xml:space="preserve">  </w:t>
      </w:r>
    </w:p>
    <w:p w:rsidR="00FC391D" w:rsidRDefault="00FC391D" w:rsidP="00D212A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800"/>
      </w:tblGrid>
      <w:tr w:rsidR="00FC391D" w:rsidTr="00312371">
        <w:tc>
          <w:tcPr>
            <w:tcW w:w="3528" w:type="dxa"/>
            <w:shd w:val="clear" w:color="auto" w:fill="auto"/>
          </w:tcPr>
          <w:p w:rsidR="00FC391D" w:rsidRPr="00C35446" w:rsidRDefault="00C35446" w:rsidP="00312371">
            <w:pPr>
              <w:jc w:val="both"/>
              <w:rPr>
                <w:b/>
              </w:rPr>
            </w:pPr>
            <w:r w:rsidRPr="00C35446">
              <w:rPr>
                <w:b/>
              </w:rPr>
              <w:t>Registration Category</w:t>
            </w:r>
          </w:p>
        </w:tc>
        <w:tc>
          <w:tcPr>
            <w:tcW w:w="1800" w:type="dxa"/>
            <w:shd w:val="clear" w:color="auto" w:fill="auto"/>
          </w:tcPr>
          <w:p w:rsidR="00FC391D" w:rsidRPr="00C35446" w:rsidRDefault="00B41FF4" w:rsidP="00312371">
            <w:pPr>
              <w:jc w:val="both"/>
              <w:rPr>
                <w:b/>
              </w:rPr>
            </w:pPr>
            <w:r>
              <w:rPr>
                <w:b/>
              </w:rPr>
              <w:t xml:space="preserve">Registrants per Category </w:t>
            </w:r>
          </w:p>
        </w:tc>
      </w:tr>
      <w:tr w:rsidR="00FC391D" w:rsidTr="00312371">
        <w:tc>
          <w:tcPr>
            <w:tcW w:w="3528" w:type="dxa"/>
            <w:shd w:val="clear" w:color="auto" w:fill="auto"/>
          </w:tcPr>
          <w:p w:rsidR="00FC391D" w:rsidRDefault="00FF0249" w:rsidP="00C938EB">
            <w:pPr>
              <w:jc w:val="both"/>
            </w:pPr>
            <w:r>
              <w:t xml:space="preserve">Members </w:t>
            </w:r>
            <w:r w:rsidR="00124CC5">
              <w:t xml:space="preserve"> - Full Conference </w:t>
            </w:r>
          </w:p>
        </w:tc>
        <w:tc>
          <w:tcPr>
            <w:tcW w:w="1800" w:type="dxa"/>
            <w:shd w:val="clear" w:color="auto" w:fill="auto"/>
          </w:tcPr>
          <w:p w:rsidR="00FC391D" w:rsidRDefault="00C938EB" w:rsidP="00312371">
            <w:pPr>
              <w:jc w:val="both"/>
            </w:pPr>
            <w:r>
              <w:t>399</w:t>
            </w:r>
          </w:p>
        </w:tc>
      </w:tr>
      <w:tr w:rsidR="00124CC5" w:rsidTr="00312371">
        <w:tc>
          <w:tcPr>
            <w:tcW w:w="3528" w:type="dxa"/>
            <w:shd w:val="clear" w:color="auto" w:fill="auto"/>
          </w:tcPr>
          <w:p w:rsidR="00124CC5" w:rsidRDefault="00124CC5" w:rsidP="00124CC5">
            <w:pPr>
              <w:jc w:val="both"/>
            </w:pPr>
            <w:r>
              <w:t xml:space="preserve">Members - One Day </w:t>
            </w:r>
          </w:p>
        </w:tc>
        <w:tc>
          <w:tcPr>
            <w:tcW w:w="1800" w:type="dxa"/>
            <w:shd w:val="clear" w:color="auto" w:fill="auto"/>
          </w:tcPr>
          <w:p w:rsidR="00124CC5" w:rsidRDefault="00124CC5" w:rsidP="00312371">
            <w:pPr>
              <w:jc w:val="both"/>
            </w:pPr>
            <w:r>
              <w:t>33</w:t>
            </w:r>
          </w:p>
        </w:tc>
      </w:tr>
      <w:tr w:rsidR="00124CC5" w:rsidTr="00312371">
        <w:tc>
          <w:tcPr>
            <w:tcW w:w="3528" w:type="dxa"/>
            <w:shd w:val="clear" w:color="auto" w:fill="auto"/>
          </w:tcPr>
          <w:p w:rsidR="00124CC5" w:rsidRDefault="00124CC5" w:rsidP="00124CC5">
            <w:pPr>
              <w:jc w:val="both"/>
            </w:pPr>
            <w:r>
              <w:t>Member - Chapter Only</w:t>
            </w:r>
          </w:p>
        </w:tc>
        <w:tc>
          <w:tcPr>
            <w:tcW w:w="1800" w:type="dxa"/>
            <w:shd w:val="clear" w:color="auto" w:fill="auto"/>
          </w:tcPr>
          <w:p w:rsidR="00124CC5" w:rsidRDefault="005E43FB" w:rsidP="00312371">
            <w:pPr>
              <w:jc w:val="both"/>
            </w:pPr>
            <w:r>
              <w:t>23</w:t>
            </w:r>
          </w:p>
        </w:tc>
      </w:tr>
      <w:tr w:rsidR="00FC391D" w:rsidTr="00312371">
        <w:tc>
          <w:tcPr>
            <w:tcW w:w="3528" w:type="dxa"/>
            <w:shd w:val="clear" w:color="auto" w:fill="auto"/>
          </w:tcPr>
          <w:p w:rsidR="00FC391D" w:rsidRDefault="00124CC5" w:rsidP="00124CC5">
            <w:pPr>
              <w:jc w:val="both"/>
            </w:pPr>
            <w:r>
              <w:t>N</w:t>
            </w:r>
            <w:r w:rsidR="00FF0249">
              <w:t>on-members</w:t>
            </w:r>
            <w:r>
              <w:t xml:space="preserve"> - Full Conference</w:t>
            </w:r>
          </w:p>
        </w:tc>
        <w:tc>
          <w:tcPr>
            <w:tcW w:w="1800" w:type="dxa"/>
            <w:shd w:val="clear" w:color="auto" w:fill="auto"/>
          </w:tcPr>
          <w:p w:rsidR="00FC391D" w:rsidRDefault="00124CC5" w:rsidP="00312371">
            <w:pPr>
              <w:jc w:val="both"/>
            </w:pPr>
            <w:r>
              <w:t>48</w:t>
            </w:r>
          </w:p>
        </w:tc>
      </w:tr>
      <w:tr w:rsidR="00124CC5" w:rsidTr="00312371">
        <w:tc>
          <w:tcPr>
            <w:tcW w:w="3528" w:type="dxa"/>
            <w:shd w:val="clear" w:color="auto" w:fill="auto"/>
          </w:tcPr>
          <w:p w:rsidR="00124CC5" w:rsidRDefault="00124CC5" w:rsidP="00124CC5">
            <w:pPr>
              <w:jc w:val="both"/>
            </w:pPr>
            <w:r>
              <w:t>Non-members - One Day</w:t>
            </w:r>
          </w:p>
        </w:tc>
        <w:tc>
          <w:tcPr>
            <w:tcW w:w="1800" w:type="dxa"/>
            <w:shd w:val="clear" w:color="auto" w:fill="auto"/>
          </w:tcPr>
          <w:p w:rsidR="00124CC5" w:rsidRDefault="00124CC5" w:rsidP="00312371">
            <w:pPr>
              <w:jc w:val="both"/>
            </w:pPr>
            <w:r>
              <w:t>5</w:t>
            </w:r>
          </w:p>
        </w:tc>
      </w:tr>
      <w:tr w:rsidR="00FC391D" w:rsidTr="00312371">
        <w:tc>
          <w:tcPr>
            <w:tcW w:w="3528" w:type="dxa"/>
            <w:shd w:val="clear" w:color="auto" w:fill="auto"/>
          </w:tcPr>
          <w:p w:rsidR="00FC391D" w:rsidRDefault="00FF0249" w:rsidP="00312371">
            <w:pPr>
              <w:jc w:val="both"/>
            </w:pPr>
            <w:r>
              <w:t>Young Planners</w:t>
            </w:r>
            <w:r w:rsidR="00124CC5">
              <w:t xml:space="preserve"> Full Conference</w:t>
            </w:r>
          </w:p>
        </w:tc>
        <w:tc>
          <w:tcPr>
            <w:tcW w:w="1800" w:type="dxa"/>
            <w:shd w:val="clear" w:color="auto" w:fill="auto"/>
          </w:tcPr>
          <w:p w:rsidR="00FC391D" w:rsidRDefault="00124CC5" w:rsidP="00312371">
            <w:pPr>
              <w:jc w:val="both"/>
            </w:pPr>
            <w:r>
              <w:t>27</w:t>
            </w:r>
          </w:p>
        </w:tc>
      </w:tr>
      <w:tr w:rsidR="00124CC5" w:rsidTr="00312371">
        <w:tc>
          <w:tcPr>
            <w:tcW w:w="3528" w:type="dxa"/>
            <w:shd w:val="clear" w:color="auto" w:fill="auto"/>
          </w:tcPr>
          <w:p w:rsidR="00124CC5" w:rsidRDefault="00124CC5" w:rsidP="00312371">
            <w:pPr>
              <w:jc w:val="both"/>
            </w:pPr>
            <w:r>
              <w:t>Young Planner One Day</w:t>
            </w:r>
          </w:p>
        </w:tc>
        <w:tc>
          <w:tcPr>
            <w:tcW w:w="1800" w:type="dxa"/>
            <w:shd w:val="clear" w:color="auto" w:fill="auto"/>
          </w:tcPr>
          <w:p w:rsidR="00124CC5" w:rsidRDefault="00124CC5" w:rsidP="00312371">
            <w:pPr>
              <w:jc w:val="both"/>
            </w:pPr>
            <w:r>
              <w:t>3</w:t>
            </w:r>
          </w:p>
        </w:tc>
      </w:tr>
      <w:tr w:rsidR="00AE36B6" w:rsidTr="00312371">
        <w:tc>
          <w:tcPr>
            <w:tcW w:w="3528" w:type="dxa"/>
            <w:shd w:val="clear" w:color="auto" w:fill="auto"/>
          </w:tcPr>
          <w:p w:rsidR="00AE36B6" w:rsidRDefault="00AE36B6" w:rsidP="00312371">
            <w:pPr>
              <w:jc w:val="both"/>
            </w:pPr>
            <w:r>
              <w:t>Life</w:t>
            </w:r>
            <w:r w:rsidR="00124CC5">
              <w:t xml:space="preserve"> - Full Conference</w:t>
            </w:r>
          </w:p>
        </w:tc>
        <w:tc>
          <w:tcPr>
            <w:tcW w:w="1800" w:type="dxa"/>
            <w:shd w:val="clear" w:color="auto" w:fill="auto"/>
          </w:tcPr>
          <w:p w:rsidR="00AE36B6" w:rsidRDefault="00124CC5" w:rsidP="00312371">
            <w:pPr>
              <w:jc w:val="both"/>
            </w:pPr>
            <w:r>
              <w:t>12</w:t>
            </w:r>
          </w:p>
        </w:tc>
      </w:tr>
      <w:tr w:rsidR="00FC391D" w:rsidTr="00312371">
        <w:tc>
          <w:tcPr>
            <w:tcW w:w="3528" w:type="dxa"/>
            <w:shd w:val="clear" w:color="auto" w:fill="auto"/>
          </w:tcPr>
          <w:p w:rsidR="00FC391D" w:rsidRDefault="005B31EA" w:rsidP="00312371">
            <w:pPr>
              <w:jc w:val="both"/>
            </w:pPr>
            <w:r>
              <w:t>Students</w:t>
            </w:r>
            <w:r w:rsidR="00124CC5">
              <w:t xml:space="preserve"> - Full Conference</w:t>
            </w:r>
            <w:r>
              <w:t xml:space="preserve"> </w:t>
            </w:r>
          </w:p>
        </w:tc>
        <w:tc>
          <w:tcPr>
            <w:tcW w:w="1800" w:type="dxa"/>
            <w:shd w:val="clear" w:color="auto" w:fill="auto"/>
          </w:tcPr>
          <w:p w:rsidR="00FC391D" w:rsidRDefault="00C8147C" w:rsidP="00124CC5">
            <w:pPr>
              <w:jc w:val="both"/>
            </w:pPr>
            <w:r>
              <w:t>2</w:t>
            </w:r>
            <w:r w:rsidR="00124CC5">
              <w:t xml:space="preserve">0 </w:t>
            </w:r>
          </w:p>
        </w:tc>
      </w:tr>
      <w:tr w:rsidR="00124CC5" w:rsidTr="00312371">
        <w:tc>
          <w:tcPr>
            <w:tcW w:w="3528" w:type="dxa"/>
            <w:shd w:val="clear" w:color="auto" w:fill="auto"/>
          </w:tcPr>
          <w:p w:rsidR="00124CC5" w:rsidRDefault="00124CC5" w:rsidP="00312371">
            <w:pPr>
              <w:jc w:val="both"/>
            </w:pPr>
            <w:r>
              <w:t>Students - One Day</w:t>
            </w:r>
          </w:p>
        </w:tc>
        <w:tc>
          <w:tcPr>
            <w:tcW w:w="1800" w:type="dxa"/>
            <w:shd w:val="clear" w:color="auto" w:fill="auto"/>
          </w:tcPr>
          <w:p w:rsidR="00124CC5" w:rsidRDefault="00124CC5" w:rsidP="00124CC5">
            <w:pPr>
              <w:jc w:val="both"/>
            </w:pPr>
            <w:r>
              <w:t>1</w:t>
            </w:r>
          </w:p>
        </w:tc>
      </w:tr>
      <w:tr w:rsidR="005B31EA" w:rsidTr="00312371">
        <w:tc>
          <w:tcPr>
            <w:tcW w:w="3528" w:type="dxa"/>
            <w:shd w:val="clear" w:color="auto" w:fill="auto"/>
          </w:tcPr>
          <w:p w:rsidR="005B31EA" w:rsidRDefault="005B31EA" w:rsidP="00312371">
            <w:pPr>
              <w:jc w:val="both"/>
            </w:pPr>
            <w:r>
              <w:t>Speakers</w:t>
            </w:r>
            <w:r w:rsidR="00124CC5">
              <w:t xml:space="preserve"> - Full Conference</w:t>
            </w:r>
          </w:p>
        </w:tc>
        <w:tc>
          <w:tcPr>
            <w:tcW w:w="1800" w:type="dxa"/>
            <w:shd w:val="clear" w:color="auto" w:fill="auto"/>
          </w:tcPr>
          <w:p w:rsidR="005B31EA" w:rsidRDefault="00124CC5" w:rsidP="00312371">
            <w:pPr>
              <w:jc w:val="both"/>
            </w:pPr>
            <w:r>
              <w:t>86</w:t>
            </w:r>
          </w:p>
        </w:tc>
      </w:tr>
      <w:tr w:rsidR="00124CC5" w:rsidTr="00312371">
        <w:tc>
          <w:tcPr>
            <w:tcW w:w="3528" w:type="dxa"/>
            <w:shd w:val="clear" w:color="auto" w:fill="auto"/>
          </w:tcPr>
          <w:p w:rsidR="00124CC5" w:rsidRDefault="00124CC5" w:rsidP="00312371">
            <w:pPr>
              <w:jc w:val="both"/>
            </w:pPr>
            <w:r>
              <w:t>Speakers - One Day</w:t>
            </w:r>
          </w:p>
        </w:tc>
        <w:tc>
          <w:tcPr>
            <w:tcW w:w="1800" w:type="dxa"/>
            <w:shd w:val="clear" w:color="auto" w:fill="auto"/>
          </w:tcPr>
          <w:p w:rsidR="00124CC5" w:rsidRDefault="00124CC5" w:rsidP="00312371">
            <w:pPr>
              <w:jc w:val="both"/>
            </w:pPr>
            <w:r>
              <w:t>7</w:t>
            </w:r>
          </w:p>
        </w:tc>
      </w:tr>
      <w:tr w:rsidR="005B31EA" w:rsidTr="00312371">
        <w:tc>
          <w:tcPr>
            <w:tcW w:w="3528" w:type="dxa"/>
            <w:shd w:val="clear" w:color="auto" w:fill="auto"/>
          </w:tcPr>
          <w:p w:rsidR="005B31EA" w:rsidRDefault="00C253BB" w:rsidP="00312371">
            <w:pPr>
              <w:jc w:val="both"/>
            </w:pPr>
            <w:r>
              <w:t>Student Comps/Student free day</w:t>
            </w:r>
          </w:p>
        </w:tc>
        <w:tc>
          <w:tcPr>
            <w:tcW w:w="1800" w:type="dxa"/>
            <w:shd w:val="clear" w:color="auto" w:fill="auto"/>
          </w:tcPr>
          <w:p w:rsidR="005B31EA" w:rsidRDefault="00124CC5" w:rsidP="00312371">
            <w:pPr>
              <w:jc w:val="both"/>
            </w:pPr>
            <w:r>
              <w:t>26</w:t>
            </w:r>
          </w:p>
        </w:tc>
      </w:tr>
      <w:tr w:rsidR="005B31EA" w:rsidTr="00312371">
        <w:tc>
          <w:tcPr>
            <w:tcW w:w="3528" w:type="dxa"/>
            <w:shd w:val="clear" w:color="auto" w:fill="auto"/>
          </w:tcPr>
          <w:p w:rsidR="005B31EA" w:rsidRDefault="005B31EA" w:rsidP="00312371">
            <w:pPr>
              <w:jc w:val="both"/>
            </w:pPr>
            <w:r>
              <w:t>Full Comps</w:t>
            </w:r>
          </w:p>
        </w:tc>
        <w:tc>
          <w:tcPr>
            <w:tcW w:w="1800" w:type="dxa"/>
            <w:shd w:val="clear" w:color="auto" w:fill="auto"/>
          </w:tcPr>
          <w:p w:rsidR="005B31EA" w:rsidRPr="00715D60" w:rsidRDefault="00124CC5" w:rsidP="00312371">
            <w:pPr>
              <w:jc w:val="both"/>
              <w:rPr>
                <w:highlight w:val="yellow"/>
              </w:rPr>
            </w:pPr>
            <w:r>
              <w:t>6</w:t>
            </w:r>
          </w:p>
        </w:tc>
      </w:tr>
      <w:tr w:rsidR="005E43FB" w:rsidTr="00312371">
        <w:tc>
          <w:tcPr>
            <w:tcW w:w="3528" w:type="dxa"/>
            <w:shd w:val="clear" w:color="auto" w:fill="auto"/>
          </w:tcPr>
          <w:p w:rsidR="005E43FB" w:rsidRDefault="005E43FB" w:rsidP="00312371">
            <w:pPr>
              <w:jc w:val="both"/>
            </w:pPr>
            <w:r>
              <w:t>Badge Only</w:t>
            </w:r>
          </w:p>
        </w:tc>
        <w:tc>
          <w:tcPr>
            <w:tcW w:w="1800" w:type="dxa"/>
            <w:shd w:val="clear" w:color="auto" w:fill="auto"/>
          </w:tcPr>
          <w:p w:rsidR="005E43FB" w:rsidRDefault="005E43FB" w:rsidP="00312371">
            <w:pPr>
              <w:jc w:val="both"/>
            </w:pPr>
            <w:r>
              <w:t>4</w:t>
            </w:r>
          </w:p>
        </w:tc>
      </w:tr>
      <w:tr w:rsidR="005B31EA" w:rsidTr="00312371">
        <w:tc>
          <w:tcPr>
            <w:tcW w:w="3528" w:type="dxa"/>
            <w:shd w:val="clear" w:color="auto" w:fill="auto"/>
          </w:tcPr>
          <w:p w:rsidR="005B31EA" w:rsidRDefault="005B31EA" w:rsidP="00312371">
            <w:pPr>
              <w:jc w:val="both"/>
            </w:pPr>
          </w:p>
        </w:tc>
        <w:tc>
          <w:tcPr>
            <w:tcW w:w="1800" w:type="dxa"/>
            <w:shd w:val="clear" w:color="auto" w:fill="auto"/>
          </w:tcPr>
          <w:p w:rsidR="005B31EA" w:rsidRDefault="005B31EA" w:rsidP="00312371">
            <w:pPr>
              <w:jc w:val="both"/>
            </w:pPr>
          </w:p>
        </w:tc>
      </w:tr>
      <w:tr w:rsidR="00FC391D" w:rsidTr="00312371">
        <w:tc>
          <w:tcPr>
            <w:tcW w:w="3528" w:type="dxa"/>
            <w:shd w:val="clear" w:color="auto" w:fill="auto"/>
          </w:tcPr>
          <w:p w:rsidR="00FC391D" w:rsidRPr="00C35446" w:rsidRDefault="00FC391D" w:rsidP="00312371">
            <w:pPr>
              <w:jc w:val="both"/>
              <w:rPr>
                <w:b/>
              </w:rPr>
            </w:pPr>
            <w:r w:rsidRPr="00C35446">
              <w:rPr>
                <w:b/>
              </w:rPr>
              <w:t>Total</w:t>
            </w:r>
          </w:p>
        </w:tc>
        <w:tc>
          <w:tcPr>
            <w:tcW w:w="1800" w:type="dxa"/>
            <w:shd w:val="clear" w:color="auto" w:fill="auto"/>
          </w:tcPr>
          <w:p w:rsidR="00FC391D" w:rsidRPr="00C35446" w:rsidRDefault="00B2626F" w:rsidP="00312371">
            <w:pPr>
              <w:jc w:val="both"/>
              <w:rPr>
                <w:b/>
              </w:rPr>
            </w:pPr>
            <w:r>
              <w:rPr>
                <w:b/>
              </w:rPr>
              <w:t>7</w:t>
            </w:r>
            <w:r w:rsidR="005E43FB">
              <w:rPr>
                <w:b/>
              </w:rPr>
              <w:t>00</w:t>
            </w:r>
          </w:p>
        </w:tc>
      </w:tr>
    </w:tbl>
    <w:p w:rsidR="00433D92" w:rsidRDefault="00433D92" w:rsidP="00D212A0">
      <w:pPr>
        <w:jc w:val="both"/>
      </w:pPr>
    </w:p>
    <w:p w:rsidR="006637E8" w:rsidRDefault="00964B50" w:rsidP="00D212A0">
      <w:pPr>
        <w:jc w:val="both"/>
      </w:pPr>
      <w:r>
        <w:t xml:space="preserve">The actual number of paid registrations </w:t>
      </w:r>
      <w:r w:rsidRPr="00EB0A25">
        <w:t xml:space="preserve">totals </w:t>
      </w:r>
      <w:r w:rsidR="005E43FB">
        <w:t>690</w:t>
      </w:r>
      <w:r w:rsidR="005B31EA">
        <w:t>.</w:t>
      </w:r>
      <w:r>
        <w:t xml:space="preserve"> </w:t>
      </w:r>
      <w:r w:rsidR="00C10D55">
        <w:t>Beginning in 2010,</w:t>
      </w:r>
      <w:r>
        <w:t xml:space="preserve"> </w:t>
      </w:r>
      <w:r w:rsidR="008030DF">
        <w:t xml:space="preserve">conference </w:t>
      </w:r>
      <w:r>
        <w:t>speakers were required to pay to attend the conference. All speakers</w:t>
      </w:r>
      <w:r w:rsidR="00E421A7">
        <w:t>, APA members or non-members</w:t>
      </w:r>
      <w:r>
        <w:t xml:space="preserve"> were provided a reduced registration (full or one day).</w:t>
      </w:r>
    </w:p>
    <w:p w:rsidR="00811191" w:rsidRDefault="00811191" w:rsidP="00D212A0">
      <w:pPr>
        <w:jc w:val="both"/>
      </w:pPr>
    </w:p>
    <w:p w:rsidR="003E0B8C" w:rsidRDefault="00CC6843" w:rsidP="00D212A0">
      <w:pPr>
        <w:jc w:val="both"/>
      </w:pPr>
      <w:r w:rsidRPr="00381A5A">
        <w:t xml:space="preserve">In </w:t>
      </w:r>
      <w:r w:rsidR="00097438" w:rsidRPr="00381A5A">
        <w:t>comparing budgeted</w:t>
      </w:r>
      <w:r w:rsidR="002B0996" w:rsidRPr="00381A5A">
        <w:t xml:space="preserve"> to actual registration categories</w:t>
      </w:r>
      <w:r w:rsidR="005E43FB">
        <w:t xml:space="preserve">, </w:t>
      </w:r>
      <w:r w:rsidR="00097438" w:rsidRPr="00381A5A">
        <w:t>registration</w:t>
      </w:r>
      <w:r w:rsidR="00811191" w:rsidRPr="00381A5A">
        <w:t xml:space="preserve"> </w:t>
      </w:r>
      <w:r w:rsidR="005E43FB">
        <w:t xml:space="preserve">exceeded </w:t>
      </w:r>
      <w:r w:rsidR="00811191" w:rsidRPr="00381A5A">
        <w:t xml:space="preserve">projections </w:t>
      </w:r>
      <w:r w:rsidR="005E43FB">
        <w:t>significantly.  The projections for registration were very conservative due to location</w:t>
      </w:r>
      <w:r w:rsidRPr="00381A5A">
        <w:t xml:space="preserve">. </w:t>
      </w:r>
      <w:r w:rsidR="00381A5A" w:rsidRPr="00381A5A">
        <w:t>W</w:t>
      </w:r>
      <w:r w:rsidR="00E421A7" w:rsidRPr="00381A5A">
        <w:t>hen all to</w:t>
      </w:r>
      <w:r w:rsidR="00097438">
        <w:t>ld</w:t>
      </w:r>
      <w:r w:rsidR="00E421A7" w:rsidRPr="00381A5A">
        <w:t>, actual</w:t>
      </w:r>
      <w:r w:rsidR="00097438">
        <w:t>/budgeted</w:t>
      </w:r>
      <w:r w:rsidR="00E421A7" w:rsidRPr="00381A5A">
        <w:t xml:space="preserve"> registration revenues were </w:t>
      </w:r>
      <w:r w:rsidR="005E43FB">
        <w:t>up</w:t>
      </w:r>
      <w:r w:rsidR="00E421A7" w:rsidRPr="00381A5A">
        <w:t xml:space="preserve"> by $</w:t>
      </w:r>
      <w:r w:rsidR="00CD509A" w:rsidRPr="00381A5A">
        <w:t xml:space="preserve"> </w:t>
      </w:r>
      <w:r w:rsidR="005E43FB">
        <w:t>123,663, approximately 179% of projections</w:t>
      </w:r>
      <w:r w:rsidR="00E421A7" w:rsidRPr="00381A5A">
        <w:t>.</w:t>
      </w:r>
      <w:r w:rsidR="00E421A7">
        <w:t xml:space="preserve"> </w:t>
      </w:r>
    </w:p>
    <w:p w:rsidR="00431713" w:rsidRDefault="00431713" w:rsidP="00D212A0">
      <w:pPr>
        <w:jc w:val="both"/>
      </w:pPr>
    </w:p>
    <w:p w:rsidR="00D11A6C" w:rsidRPr="00D11A6C" w:rsidRDefault="00D11A6C" w:rsidP="0000420C">
      <w:pPr>
        <w:jc w:val="both"/>
        <w:rPr>
          <w:u w:val="single"/>
        </w:rPr>
      </w:pPr>
      <w:r w:rsidRPr="00D11A6C">
        <w:rPr>
          <w:u w:val="single"/>
        </w:rPr>
        <w:t>Sponsorships</w:t>
      </w:r>
    </w:p>
    <w:p w:rsidR="00D11A6C" w:rsidRDefault="00D11A6C" w:rsidP="0000420C">
      <w:pPr>
        <w:jc w:val="both"/>
      </w:pPr>
    </w:p>
    <w:p w:rsidR="0000420C" w:rsidRDefault="005E43FB" w:rsidP="0000420C">
      <w:pPr>
        <w:jc w:val="both"/>
      </w:pPr>
      <w:r>
        <w:t xml:space="preserve">We budgeted very conservatively in the Sponsorship line items.  The Local Sponsorship chair did an amazing job obtaining many local sponsors.  </w:t>
      </w:r>
      <w:r w:rsidR="00E421A7">
        <w:t xml:space="preserve">Sponsorship </w:t>
      </w:r>
      <w:r w:rsidR="00744091">
        <w:t>revenue exceeded</w:t>
      </w:r>
      <w:r w:rsidR="00E421A7">
        <w:t xml:space="preserve"> </w:t>
      </w:r>
      <w:r w:rsidR="00744091">
        <w:t xml:space="preserve">budget </w:t>
      </w:r>
      <w:r w:rsidR="00E421A7">
        <w:t>projections</w:t>
      </w:r>
      <w:r>
        <w:t xml:space="preserve"> by $15,771, or 128% of projections</w:t>
      </w:r>
      <w:r w:rsidR="00467205">
        <w:t>.</w:t>
      </w:r>
    </w:p>
    <w:p w:rsidR="002B0996" w:rsidRDefault="002B0996" w:rsidP="00D212A0">
      <w:pPr>
        <w:jc w:val="both"/>
        <w:rPr>
          <w:u w:val="single"/>
        </w:rPr>
      </w:pPr>
    </w:p>
    <w:p w:rsidR="0000420C" w:rsidRPr="004537C5" w:rsidRDefault="0000420C" w:rsidP="00D212A0">
      <w:pPr>
        <w:jc w:val="both"/>
      </w:pPr>
      <w:r w:rsidRPr="0000420C">
        <w:rPr>
          <w:u w:val="single"/>
        </w:rPr>
        <w:t>Sustainability Efforts:</w:t>
      </w:r>
      <w:r w:rsidR="004537C5">
        <w:rPr>
          <w:u w:val="single"/>
        </w:rPr>
        <w:t xml:space="preserve"> </w:t>
      </w:r>
      <w:r w:rsidR="004537C5">
        <w:t xml:space="preserve">Conferences continue to implement sustainability guidelines adopted by the State </w:t>
      </w:r>
      <w:r w:rsidR="002B47FD">
        <w:t>Board;</w:t>
      </w:r>
      <w:r w:rsidR="002B0996">
        <w:t xml:space="preserve"> </w:t>
      </w:r>
      <w:r w:rsidR="00EC0A9B">
        <w:t xml:space="preserve">however the extent to which conference sites have sustainability practices varies </w:t>
      </w:r>
      <w:r w:rsidR="004537C5">
        <w:t xml:space="preserve">with each Conference venue. </w:t>
      </w:r>
      <w:r w:rsidR="00EC0A9B">
        <w:t>The 201</w:t>
      </w:r>
      <w:r w:rsidR="005E43FB">
        <w:t>3</w:t>
      </w:r>
      <w:r w:rsidR="00FE17FE">
        <w:t xml:space="preserve"> L</w:t>
      </w:r>
      <w:r w:rsidR="00EC0A9B">
        <w:t xml:space="preserve">HC worked closely with </w:t>
      </w:r>
      <w:r w:rsidR="005E43FB">
        <w:t>Visalia Marriott</w:t>
      </w:r>
      <w:r w:rsidR="002B0996">
        <w:t xml:space="preserve"> </w:t>
      </w:r>
      <w:r w:rsidR="00EC0A9B">
        <w:t>to fulfill sustainability ideas by serving locally grown food (when possible), eliminate plastic water bottles,</w:t>
      </w:r>
      <w:r w:rsidR="002B0996">
        <w:t xml:space="preserve"> and </w:t>
      </w:r>
      <w:r w:rsidR="00EC0A9B">
        <w:t>minimizing waste.</w:t>
      </w:r>
    </w:p>
    <w:p w:rsidR="0000420C" w:rsidRDefault="0000420C" w:rsidP="00D212A0">
      <w:pPr>
        <w:jc w:val="both"/>
      </w:pPr>
    </w:p>
    <w:p w:rsidR="005E43FB" w:rsidRDefault="0000420C" w:rsidP="00D212A0">
      <w:pPr>
        <w:jc w:val="both"/>
      </w:pPr>
      <w:r w:rsidRPr="005E43FB">
        <w:rPr>
          <w:u w:val="single"/>
        </w:rPr>
        <w:t>Carbon Footprint</w:t>
      </w:r>
    </w:p>
    <w:p w:rsidR="005E43FB" w:rsidRDefault="005E43FB" w:rsidP="00D212A0">
      <w:pPr>
        <w:jc w:val="both"/>
      </w:pPr>
    </w:p>
    <w:p w:rsidR="00C35446" w:rsidRDefault="008030DF" w:rsidP="00D212A0">
      <w:pPr>
        <w:jc w:val="both"/>
      </w:pPr>
      <w:r>
        <w:t xml:space="preserve">This </w:t>
      </w:r>
      <w:r w:rsidR="005E43FB">
        <w:t>was the third</w:t>
      </w:r>
      <w:r w:rsidR="00375A33">
        <w:t xml:space="preserve"> </w:t>
      </w:r>
      <w:r>
        <w:t xml:space="preserve">year registrants were provided an opportunity to </w:t>
      </w:r>
      <w:r w:rsidR="00C35446">
        <w:t xml:space="preserve">make </w:t>
      </w:r>
      <w:r>
        <w:t xml:space="preserve">a carbon foot print </w:t>
      </w:r>
      <w:r w:rsidR="00C35446">
        <w:t>donation</w:t>
      </w:r>
      <w:r w:rsidR="00E83833">
        <w:t xml:space="preserve"> and </w:t>
      </w:r>
      <w:r w:rsidR="00375A33">
        <w:t xml:space="preserve">attendees were provided several methods to contribute a carbon foot print donation-on line registration or at the conference. </w:t>
      </w:r>
      <w:r w:rsidR="00734F40">
        <w:t xml:space="preserve"> Fewer attendees donated money to the carbon foot print off-set, but $81 more dollars were received over last year.</w:t>
      </w:r>
    </w:p>
    <w:p w:rsidR="00C35446" w:rsidRDefault="00C35446" w:rsidP="00D212A0">
      <w:pPr>
        <w:jc w:val="both"/>
      </w:pPr>
    </w:p>
    <w:p w:rsidR="00C35446" w:rsidRPr="00C35446" w:rsidRDefault="00C35446" w:rsidP="00D212A0">
      <w:pPr>
        <w:jc w:val="both"/>
        <w:rPr>
          <w:u w:val="single"/>
        </w:rPr>
      </w:pPr>
      <w:r w:rsidRPr="00C35446">
        <w:rPr>
          <w:u w:val="single"/>
        </w:rPr>
        <w:t>Carbon foot print donation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tblGrid>
      <w:tr w:rsidR="00C35446" w:rsidTr="00B232A2">
        <w:tc>
          <w:tcPr>
            <w:tcW w:w="2448" w:type="dxa"/>
            <w:shd w:val="clear" w:color="auto" w:fill="auto"/>
          </w:tcPr>
          <w:p w:rsidR="00C35446" w:rsidRDefault="00C35446" w:rsidP="004D36D7">
            <w:pPr>
              <w:jc w:val="both"/>
            </w:pPr>
            <w:r>
              <w:t xml:space="preserve">Contribution  </w:t>
            </w:r>
            <w:r w:rsidR="00B41FF4">
              <w:t>A</w:t>
            </w:r>
            <w:r>
              <w:t>mount</w:t>
            </w:r>
          </w:p>
        </w:tc>
        <w:tc>
          <w:tcPr>
            <w:tcW w:w="1080" w:type="dxa"/>
            <w:shd w:val="clear" w:color="auto" w:fill="auto"/>
          </w:tcPr>
          <w:p w:rsidR="00C35446" w:rsidRDefault="00C35446" w:rsidP="004D36D7">
            <w:pPr>
              <w:jc w:val="both"/>
            </w:pPr>
            <w:r>
              <w:t>Number</w:t>
            </w:r>
            <w:r w:rsidR="00B41FF4">
              <w:t xml:space="preserve"> </w:t>
            </w:r>
          </w:p>
        </w:tc>
        <w:tc>
          <w:tcPr>
            <w:tcW w:w="1080" w:type="dxa"/>
            <w:shd w:val="clear" w:color="auto" w:fill="auto"/>
          </w:tcPr>
          <w:p w:rsidR="00C35446" w:rsidRDefault="00C35446" w:rsidP="004D36D7">
            <w:pPr>
              <w:jc w:val="both"/>
            </w:pPr>
            <w:r>
              <w:t>$$$</w:t>
            </w:r>
          </w:p>
        </w:tc>
      </w:tr>
      <w:tr w:rsidR="00C35446" w:rsidTr="00B232A2">
        <w:tc>
          <w:tcPr>
            <w:tcW w:w="2448" w:type="dxa"/>
            <w:shd w:val="clear" w:color="auto" w:fill="auto"/>
          </w:tcPr>
          <w:p w:rsidR="00C35446" w:rsidRDefault="00C35446" w:rsidP="004D36D7">
            <w:pPr>
              <w:jc w:val="both"/>
            </w:pPr>
            <w:r>
              <w:t>$10</w:t>
            </w:r>
          </w:p>
        </w:tc>
        <w:tc>
          <w:tcPr>
            <w:tcW w:w="1080" w:type="dxa"/>
            <w:shd w:val="clear" w:color="auto" w:fill="auto"/>
          </w:tcPr>
          <w:p w:rsidR="00C35446" w:rsidRDefault="005E43FB" w:rsidP="004D36D7">
            <w:pPr>
              <w:jc w:val="both"/>
            </w:pPr>
            <w:r>
              <w:t>25</w:t>
            </w:r>
          </w:p>
        </w:tc>
        <w:tc>
          <w:tcPr>
            <w:tcW w:w="1080" w:type="dxa"/>
            <w:shd w:val="clear" w:color="auto" w:fill="auto"/>
          </w:tcPr>
          <w:p w:rsidR="00C35446" w:rsidRDefault="00C253BB" w:rsidP="004D36D7">
            <w:pPr>
              <w:jc w:val="both"/>
            </w:pPr>
            <w:r>
              <w:t>$</w:t>
            </w:r>
            <w:r w:rsidR="005E43FB">
              <w:t>250</w:t>
            </w:r>
          </w:p>
        </w:tc>
      </w:tr>
      <w:tr w:rsidR="00C35446" w:rsidTr="00B232A2">
        <w:tc>
          <w:tcPr>
            <w:tcW w:w="2448" w:type="dxa"/>
            <w:shd w:val="clear" w:color="auto" w:fill="auto"/>
          </w:tcPr>
          <w:p w:rsidR="00C35446" w:rsidRDefault="00C35446" w:rsidP="004D36D7">
            <w:pPr>
              <w:jc w:val="both"/>
            </w:pPr>
            <w:r>
              <w:t>$</w:t>
            </w:r>
            <w:r w:rsidR="00391670">
              <w:t>5</w:t>
            </w:r>
          </w:p>
        </w:tc>
        <w:tc>
          <w:tcPr>
            <w:tcW w:w="1080" w:type="dxa"/>
            <w:shd w:val="clear" w:color="auto" w:fill="auto"/>
          </w:tcPr>
          <w:p w:rsidR="00C35446" w:rsidRDefault="00734F40" w:rsidP="004D36D7">
            <w:pPr>
              <w:jc w:val="both"/>
            </w:pPr>
            <w:r>
              <w:t>31</w:t>
            </w:r>
          </w:p>
        </w:tc>
        <w:tc>
          <w:tcPr>
            <w:tcW w:w="1080" w:type="dxa"/>
            <w:shd w:val="clear" w:color="auto" w:fill="auto"/>
          </w:tcPr>
          <w:p w:rsidR="00C35446" w:rsidRDefault="00C253BB" w:rsidP="004D36D7">
            <w:pPr>
              <w:jc w:val="both"/>
            </w:pPr>
            <w:r>
              <w:t>$</w:t>
            </w:r>
            <w:r w:rsidR="00734F40">
              <w:t>155</w:t>
            </w:r>
          </w:p>
        </w:tc>
      </w:tr>
      <w:tr w:rsidR="00C35446" w:rsidTr="00B232A2">
        <w:tc>
          <w:tcPr>
            <w:tcW w:w="2448" w:type="dxa"/>
            <w:shd w:val="clear" w:color="auto" w:fill="auto"/>
          </w:tcPr>
          <w:p w:rsidR="00C35446" w:rsidRDefault="00C35446" w:rsidP="004D36D7">
            <w:pPr>
              <w:jc w:val="both"/>
            </w:pPr>
            <w:r>
              <w:t>$</w:t>
            </w:r>
            <w:r w:rsidR="00391670">
              <w:t>2</w:t>
            </w:r>
          </w:p>
        </w:tc>
        <w:tc>
          <w:tcPr>
            <w:tcW w:w="1080" w:type="dxa"/>
            <w:shd w:val="clear" w:color="auto" w:fill="auto"/>
          </w:tcPr>
          <w:p w:rsidR="00C35446" w:rsidRDefault="00734F40" w:rsidP="004D36D7">
            <w:pPr>
              <w:jc w:val="both"/>
            </w:pPr>
            <w:r>
              <w:t>7</w:t>
            </w:r>
          </w:p>
        </w:tc>
        <w:tc>
          <w:tcPr>
            <w:tcW w:w="1080" w:type="dxa"/>
            <w:shd w:val="clear" w:color="auto" w:fill="auto"/>
          </w:tcPr>
          <w:p w:rsidR="00C35446" w:rsidRDefault="00C253BB" w:rsidP="004D36D7">
            <w:pPr>
              <w:jc w:val="both"/>
            </w:pPr>
            <w:r>
              <w:t>$</w:t>
            </w:r>
            <w:r w:rsidR="00734F40">
              <w:t>14</w:t>
            </w:r>
          </w:p>
        </w:tc>
      </w:tr>
      <w:tr w:rsidR="00C35446" w:rsidTr="00B232A2">
        <w:tc>
          <w:tcPr>
            <w:tcW w:w="2448" w:type="dxa"/>
            <w:shd w:val="clear" w:color="auto" w:fill="auto"/>
          </w:tcPr>
          <w:p w:rsidR="00C35446" w:rsidRPr="004D36D7" w:rsidRDefault="00C35446" w:rsidP="004D36D7">
            <w:pPr>
              <w:jc w:val="both"/>
              <w:rPr>
                <w:b/>
              </w:rPr>
            </w:pPr>
            <w:r w:rsidRPr="004D36D7">
              <w:rPr>
                <w:b/>
              </w:rPr>
              <w:t>Total</w:t>
            </w:r>
          </w:p>
        </w:tc>
        <w:tc>
          <w:tcPr>
            <w:tcW w:w="1080" w:type="dxa"/>
            <w:shd w:val="clear" w:color="auto" w:fill="auto"/>
          </w:tcPr>
          <w:p w:rsidR="00C35446" w:rsidRPr="004D36D7" w:rsidRDefault="00734F40" w:rsidP="004D36D7">
            <w:pPr>
              <w:jc w:val="both"/>
              <w:rPr>
                <w:b/>
              </w:rPr>
            </w:pPr>
            <w:r>
              <w:rPr>
                <w:b/>
              </w:rPr>
              <w:t>63</w:t>
            </w:r>
          </w:p>
        </w:tc>
        <w:tc>
          <w:tcPr>
            <w:tcW w:w="1080" w:type="dxa"/>
            <w:shd w:val="clear" w:color="auto" w:fill="auto"/>
          </w:tcPr>
          <w:p w:rsidR="00C35446" w:rsidRPr="004D36D7" w:rsidRDefault="00734F40" w:rsidP="004D36D7">
            <w:pPr>
              <w:jc w:val="both"/>
              <w:rPr>
                <w:b/>
              </w:rPr>
            </w:pPr>
            <w:r>
              <w:rPr>
                <w:b/>
              </w:rPr>
              <w:t>$419</w:t>
            </w:r>
            <w:r w:rsidR="00C253BB">
              <w:rPr>
                <w:b/>
              </w:rPr>
              <w:t>.00</w:t>
            </w:r>
          </w:p>
        </w:tc>
      </w:tr>
    </w:tbl>
    <w:p w:rsidR="007B6EBA" w:rsidRDefault="007B6EBA" w:rsidP="00D212A0">
      <w:pPr>
        <w:jc w:val="both"/>
      </w:pPr>
    </w:p>
    <w:p w:rsidR="004603B8" w:rsidRDefault="004603B8" w:rsidP="003F6F85">
      <w:pPr>
        <w:rPr>
          <w:rFonts w:eastAsia="Calibri"/>
          <w:u w:val="single"/>
        </w:rPr>
      </w:pPr>
    </w:p>
    <w:p w:rsidR="004603B8" w:rsidRPr="00715D60" w:rsidRDefault="004603B8" w:rsidP="004603B8">
      <w:pPr>
        <w:jc w:val="both"/>
      </w:pPr>
      <w:r w:rsidRPr="00715D60">
        <w:rPr>
          <w:u w:val="single"/>
        </w:rPr>
        <w:t>Fiscal Impact</w:t>
      </w:r>
      <w:r w:rsidRPr="00715D60">
        <w:t>: Included herei</w:t>
      </w:r>
      <w:r w:rsidR="00734F40">
        <w:t>n is the accounting for the 2013</w:t>
      </w:r>
      <w:r w:rsidRPr="00715D60">
        <w:t xml:space="preserve"> Conference.</w:t>
      </w:r>
    </w:p>
    <w:p w:rsidR="004603B8" w:rsidRPr="00715D60" w:rsidRDefault="004603B8" w:rsidP="004603B8">
      <w:pPr>
        <w:jc w:val="both"/>
      </w:pPr>
    </w:p>
    <w:p w:rsidR="004603B8" w:rsidRPr="00715D60" w:rsidRDefault="00734F40" w:rsidP="004603B8">
      <w:pPr>
        <w:jc w:val="both"/>
      </w:pPr>
      <w:r>
        <w:t xml:space="preserve">While attendance at the conference was slightly down over the previous year, conference profit exceeded the projection and profit from the previous year. This conference was helped by the beginning of a recovering economy.  We projected attendance to be down due to the location not being near an urban hub.  </w:t>
      </w:r>
    </w:p>
    <w:p w:rsidR="004603B8" w:rsidRDefault="004603B8" w:rsidP="004603B8">
      <w:pPr>
        <w:jc w:val="both"/>
        <w:rPr>
          <w:u w:val="single"/>
        </w:rPr>
      </w:pPr>
    </w:p>
    <w:p w:rsidR="004603B8" w:rsidRDefault="004603B8" w:rsidP="003F6F85">
      <w:pPr>
        <w:rPr>
          <w:rFonts w:eastAsia="Calibri"/>
          <w:u w:val="single"/>
        </w:rPr>
      </w:pPr>
    </w:p>
    <w:p w:rsidR="003F6F85" w:rsidRPr="00715D60" w:rsidRDefault="002B2456" w:rsidP="003F6F85">
      <w:pPr>
        <w:rPr>
          <w:rFonts w:eastAsia="Calibri"/>
          <w:u w:val="single"/>
        </w:rPr>
      </w:pPr>
      <w:r>
        <w:rPr>
          <w:rFonts w:eastAsia="Calibri"/>
          <w:u w:val="single"/>
        </w:rPr>
        <w:t>2013</w:t>
      </w:r>
      <w:r w:rsidR="003F6F85" w:rsidRPr="00715D60">
        <w:rPr>
          <w:rFonts w:eastAsia="Calibri"/>
          <w:u w:val="single"/>
        </w:rPr>
        <w:t xml:space="preserve"> APA Conference Survey results-recap</w:t>
      </w:r>
    </w:p>
    <w:p w:rsidR="00614BDA" w:rsidRPr="00715D60" w:rsidRDefault="00614BDA" w:rsidP="00D212A0">
      <w:pPr>
        <w:jc w:val="both"/>
      </w:pPr>
    </w:p>
    <w:p w:rsidR="003F6F85" w:rsidRPr="00715D60" w:rsidRDefault="003F6F85" w:rsidP="003F6F85">
      <w:pPr>
        <w:rPr>
          <w:rFonts w:eastAsia="Calibri"/>
        </w:rPr>
      </w:pPr>
      <w:r w:rsidRPr="00715D60">
        <w:rPr>
          <w:rFonts w:eastAsia="Calibri"/>
        </w:rPr>
        <w:t>Conference attendees were notified by email to complete t</w:t>
      </w:r>
      <w:r w:rsidR="002B2456">
        <w:rPr>
          <w:rFonts w:eastAsia="Calibri"/>
        </w:rPr>
        <w:t>he survey monkey. There were 116</w:t>
      </w:r>
      <w:r w:rsidRPr="00715D60">
        <w:rPr>
          <w:rFonts w:eastAsia="Calibri"/>
        </w:rPr>
        <w:t xml:space="preserve"> conference attendees who responded. The survey results are attached. Below are some highlights of the survey results:</w:t>
      </w:r>
    </w:p>
    <w:p w:rsidR="003F6F85" w:rsidRPr="00715D60" w:rsidRDefault="003F6F85" w:rsidP="003F6F85">
      <w:pPr>
        <w:rPr>
          <w:rFonts w:eastAsia="Calibri"/>
        </w:rPr>
      </w:pPr>
    </w:p>
    <w:p w:rsidR="003F6F85" w:rsidRPr="00715D60" w:rsidRDefault="003F6F85" w:rsidP="003F6F85">
      <w:pPr>
        <w:keepNext/>
        <w:outlineLvl w:val="0"/>
        <w:rPr>
          <w:rFonts w:eastAsia="Calibri"/>
          <w:u w:val="single"/>
        </w:rPr>
      </w:pPr>
      <w:r w:rsidRPr="00715D60">
        <w:rPr>
          <w:rFonts w:eastAsia="Calibri"/>
          <w:u w:val="single"/>
        </w:rPr>
        <w:t xml:space="preserve">Conference </w:t>
      </w:r>
    </w:p>
    <w:p w:rsidR="003F6F85" w:rsidRPr="00715D60" w:rsidRDefault="003F6F85" w:rsidP="003F6F85">
      <w:pPr>
        <w:rPr>
          <w:rFonts w:eastAsia="Calibri"/>
        </w:rPr>
      </w:pPr>
      <w:r w:rsidRPr="00715D60">
        <w:rPr>
          <w:rFonts w:eastAsia="Calibri"/>
        </w:rPr>
        <w:t xml:space="preserve">-Attendees were comfortable asking questions of conference hosts, staff or volunteers </w:t>
      </w:r>
    </w:p>
    <w:p w:rsidR="003F6F85" w:rsidRPr="00715D60" w:rsidRDefault="003F6F85" w:rsidP="003F6F85">
      <w:pPr>
        <w:rPr>
          <w:rFonts w:eastAsia="Calibri"/>
        </w:rPr>
      </w:pPr>
      <w:r w:rsidRPr="00715D60">
        <w:rPr>
          <w:rFonts w:eastAsia="Calibri"/>
        </w:rPr>
        <w:t>-Conference informatio</w:t>
      </w:r>
      <w:r w:rsidR="002B2456">
        <w:rPr>
          <w:rFonts w:eastAsia="Calibri"/>
        </w:rPr>
        <w:t>n was clearly presented by the L</w:t>
      </w:r>
      <w:r w:rsidRPr="00715D60">
        <w:rPr>
          <w:rFonts w:eastAsia="Calibri"/>
        </w:rPr>
        <w:t>HC</w:t>
      </w:r>
    </w:p>
    <w:p w:rsidR="003F6F85" w:rsidRPr="00715D60" w:rsidRDefault="003F6F85" w:rsidP="003F6F85">
      <w:pPr>
        <w:rPr>
          <w:rFonts w:eastAsia="Calibri"/>
        </w:rPr>
      </w:pPr>
      <w:r w:rsidRPr="00715D60">
        <w:rPr>
          <w:rFonts w:eastAsia="Calibri"/>
        </w:rPr>
        <w:t>-Overall the conference was very organized</w:t>
      </w:r>
    </w:p>
    <w:p w:rsidR="003F6F85" w:rsidRPr="00715D60" w:rsidRDefault="003F6F85" w:rsidP="003F6F85">
      <w:pPr>
        <w:rPr>
          <w:rFonts w:eastAsia="Calibri"/>
        </w:rPr>
      </w:pPr>
      <w:r w:rsidRPr="00715D60">
        <w:rPr>
          <w:rFonts w:eastAsia="Calibri"/>
        </w:rPr>
        <w:t>-Conference content was “</w:t>
      </w:r>
      <w:r w:rsidR="002B2456">
        <w:rPr>
          <w:rFonts w:eastAsia="Calibri"/>
        </w:rPr>
        <w:t>Better than expected</w:t>
      </w:r>
      <w:r w:rsidRPr="00715D60">
        <w:rPr>
          <w:rFonts w:eastAsia="Calibri"/>
        </w:rPr>
        <w:t>”</w:t>
      </w:r>
    </w:p>
    <w:p w:rsidR="003F6F85" w:rsidRPr="00715D60" w:rsidRDefault="003F6F85" w:rsidP="003F6F85">
      <w:pPr>
        <w:rPr>
          <w:rFonts w:eastAsia="Calibri"/>
        </w:rPr>
      </w:pPr>
      <w:r w:rsidRPr="00715D60">
        <w:rPr>
          <w:rFonts w:eastAsia="Calibri"/>
        </w:rPr>
        <w:t xml:space="preserve">-Total number of sessions was “right amount” </w:t>
      </w:r>
    </w:p>
    <w:p w:rsidR="003F6F85" w:rsidRPr="00715D60" w:rsidRDefault="003F6F85" w:rsidP="003F6F85">
      <w:pPr>
        <w:rPr>
          <w:rFonts w:eastAsia="Calibri"/>
        </w:rPr>
      </w:pPr>
      <w:r w:rsidRPr="00715D60">
        <w:rPr>
          <w:rFonts w:eastAsia="Calibri"/>
        </w:rPr>
        <w:t xml:space="preserve"> </w:t>
      </w:r>
    </w:p>
    <w:p w:rsidR="003F6F85" w:rsidRPr="00715D60" w:rsidRDefault="003F6F85" w:rsidP="003F6F85">
      <w:pPr>
        <w:keepNext/>
        <w:outlineLvl w:val="0"/>
        <w:rPr>
          <w:rFonts w:eastAsia="Calibri"/>
          <w:u w:val="single"/>
        </w:rPr>
      </w:pPr>
      <w:r w:rsidRPr="00715D60">
        <w:rPr>
          <w:rFonts w:eastAsia="Calibri"/>
          <w:u w:val="single"/>
        </w:rPr>
        <w:t>Session Presenters</w:t>
      </w:r>
    </w:p>
    <w:p w:rsidR="003F6F85" w:rsidRPr="00715D60" w:rsidRDefault="003F6F85" w:rsidP="003F6F85">
      <w:pPr>
        <w:numPr>
          <w:ilvl w:val="0"/>
          <w:numId w:val="3"/>
        </w:numPr>
        <w:contextualSpacing/>
        <w:rPr>
          <w:rFonts w:eastAsia="Calibri"/>
        </w:rPr>
      </w:pPr>
      <w:r w:rsidRPr="00715D60">
        <w:rPr>
          <w:rFonts w:eastAsia="Calibri"/>
        </w:rPr>
        <w:t>Overall very knowledgeable, provided right amount of discussion and q/q</w:t>
      </w:r>
    </w:p>
    <w:p w:rsidR="003F6F85" w:rsidRPr="00715D60" w:rsidRDefault="003F6F85" w:rsidP="003F6F85">
      <w:pPr>
        <w:numPr>
          <w:ilvl w:val="0"/>
          <w:numId w:val="3"/>
        </w:numPr>
        <w:contextualSpacing/>
        <w:rPr>
          <w:rFonts w:eastAsia="Calibri"/>
        </w:rPr>
      </w:pPr>
      <w:r w:rsidRPr="00715D60">
        <w:rPr>
          <w:rFonts w:eastAsia="Calibri"/>
        </w:rPr>
        <w:t>MW were well organized and informative</w:t>
      </w:r>
    </w:p>
    <w:p w:rsidR="003F6F85" w:rsidRPr="00715D60" w:rsidRDefault="003F6F85" w:rsidP="003F6F85">
      <w:pPr>
        <w:rPr>
          <w:rFonts w:eastAsia="Calibri"/>
        </w:rPr>
      </w:pPr>
    </w:p>
    <w:p w:rsidR="003F6F85" w:rsidRPr="00715D60" w:rsidRDefault="003F6F85" w:rsidP="003F6F85">
      <w:pPr>
        <w:rPr>
          <w:rFonts w:eastAsia="Calibri"/>
        </w:rPr>
      </w:pPr>
      <w:r w:rsidRPr="00715D60">
        <w:rPr>
          <w:rFonts w:eastAsia="Calibri"/>
        </w:rPr>
        <w:t>Background of attendees:</w:t>
      </w:r>
    </w:p>
    <w:p w:rsidR="003F6F85" w:rsidRPr="00715D60" w:rsidRDefault="003F6F85" w:rsidP="003F6F85">
      <w:pPr>
        <w:rPr>
          <w:rFonts w:eastAsia="Calibri"/>
        </w:rPr>
      </w:pPr>
      <w:r w:rsidRPr="00715D60">
        <w:rPr>
          <w:rFonts w:eastAsia="Calibri"/>
        </w:rPr>
        <w:t>Those responding to s</w:t>
      </w:r>
      <w:r w:rsidR="002B2456">
        <w:rPr>
          <w:rFonts w:eastAsia="Calibri"/>
        </w:rPr>
        <w:t>urvey-City/County government (66</w:t>
      </w:r>
      <w:r w:rsidRPr="00715D60">
        <w:rPr>
          <w:rFonts w:eastAsia="Calibri"/>
        </w:rPr>
        <w:t xml:space="preserve">%), </w:t>
      </w:r>
      <w:r w:rsidR="00E83113" w:rsidRPr="00715D60">
        <w:rPr>
          <w:rFonts w:eastAsia="Calibri"/>
        </w:rPr>
        <w:t>consulting</w:t>
      </w:r>
      <w:r w:rsidR="002B2456">
        <w:rPr>
          <w:rFonts w:eastAsia="Calibri"/>
        </w:rPr>
        <w:t xml:space="preserve"> firms (33%), students 1</w:t>
      </w:r>
      <w:r w:rsidRPr="00715D60">
        <w:rPr>
          <w:rFonts w:eastAsia="Calibri"/>
        </w:rPr>
        <w:t>%</w:t>
      </w:r>
    </w:p>
    <w:p w:rsidR="003F6F85" w:rsidRPr="00715D60" w:rsidRDefault="003F6F85" w:rsidP="003F6F85">
      <w:pPr>
        <w:rPr>
          <w:rFonts w:eastAsia="Calibri"/>
        </w:rPr>
      </w:pPr>
    </w:p>
    <w:p w:rsidR="003F6F85" w:rsidRPr="00715D60" w:rsidRDefault="003F6F85" w:rsidP="003F6F85">
      <w:pPr>
        <w:keepNext/>
        <w:outlineLvl w:val="0"/>
        <w:rPr>
          <w:rFonts w:eastAsia="Calibri"/>
          <w:u w:val="single"/>
        </w:rPr>
      </w:pPr>
      <w:r w:rsidRPr="00715D60">
        <w:rPr>
          <w:rFonts w:eastAsia="Calibri"/>
          <w:u w:val="single"/>
        </w:rPr>
        <w:lastRenderedPageBreak/>
        <w:t>Sustainability Measures –</w:t>
      </w:r>
      <w:r w:rsidRPr="00715D60">
        <w:rPr>
          <w:rFonts w:eastAsia="Calibri"/>
        </w:rPr>
        <w:t xml:space="preserve">Respondents </w:t>
      </w:r>
      <w:r w:rsidR="00554620">
        <w:rPr>
          <w:rFonts w:eastAsia="Calibri"/>
        </w:rPr>
        <w:t>felt</w:t>
      </w:r>
      <w:r w:rsidRPr="00715D60">
        <w:rPr>
          <w:rFonts w:eastAsia="Calibri"/>
        </w:rPr>
        <w:t xml:space="preserve"> </w:t>
      </w:r>
      <w:r w:rsidR="00554620">
        <w:rPr>
          <w:rFonts w:eastAsia="Calibri"/>
        </w:rPr>
        <w:t xml:space="preserve">sustainability efforts are </w:t>
      </w:r>
      <w:r w:rsidRPr="00715D60">
        <w:rPr>
          <w:rFonts w:eastAsia="Calibri"/>
        </w:rPr>
        <w:t>an important of conference planning and implementation</w:t>
      </w:r>
      <w:r w:rsidRPr="00715D60">
        <w:rPr>
          <w:rFonts w:eastAsia="Calibri"/>
          <w:u w:val="single"/>
        </w:rPr>
        <w:t xml:space="preserve"> </w:t>
      </w:r>
    </w:p>
    <w:p w:rsidR="003F6F85" w:rsidRPr="00715D60" w:rsidRDefault="003F6F85" w:rsidP="003F6F85">
      <w:pPr>
        <w:rPr>
          <w:rFonts w:eastAsia="Calibri"/>
        </w:rPr>
      </w:pPr>
      <w:r w:rsidRPr="00715D60">
        <w:rPr>
          <w:rFonts w:eastAsia="Calibri"/>
        </w:rPr>
        <w:t>-Carbon footpr</w:t>
      </w:r>
      <w:r w:rsidR="002B2456">
        <w:rPr>
          <w:rFonts w:eastAsia="Calibri"/>
        </w:rPr>
        <w:t>int offset was purchased by 35.8</w:t>
      </w:r>
      <w:r w:rsidRPr="00715D60">
        <w:rPr>
          <w:rFonts w:eastAsia="Calibri"/>
        </w:rPr>
        <w:t>% of respondents</w:t>
      </w:r>
    </w:p>
    <w:p w:rsidR="003F6F85" w:rsidRPr="00715D60" w:rsidRDefault="003F6F85" w:rsidP="003F6F85">
      <w:pPr>
        <w:rPr>
          <w:rFonts w:eastAsia="Calibri"/>
        </w:rPr>
      </w:pPr>
      <w:r w:rsidRPr="00715D60">
        <w:rPr>
          <w:rFonts w:eastAsia="Calibri"/>
        </w:rPr>
        <w:t>-Wish to continue offering carbon footprint offset at future conferences</w:t>
      </w:r>
    </w:p>
    <w:p w:rsidR="003F6F85" w:rsidRPr="00715D60" w:rsidRDefault="003F6F85" w:rsidP="003F6F85">
      <w:pPr>
        <w:rPr>
          <w:rFonts w:eastAsia="Calibri"/>
        </w:rPr>
      </w:pPr>
      <w:r w:rsidRPr="00715D60">
        <w:rPr>
          <w:rFonts w:eastAsia="Calibri"/>
        </w:rPr>
        <w:t>-Integration of locally grown food into the meals was overwhelmingly welcomed and respondents would like to see this continued</w:t>
      </w:r>
    </w:p>
    <w:p w:rsidR="003F6F85" w:rsidRPr="00715D60" w:rsidRDefault="002B2456" w:rsidP="003F6F85">
      <w:pPr>
        <w:rPr>
          <w:rFonts w:eastAsia="Calibri"/>
        </w:rPr>
      </w:pPr>
      <w:r>
        <w:rPr>
          <w:rFonts w:eastAsia="Calibri"/>
        </w:rPr>
        <w:t xml:space="preserve">-Transportation: drove alone (54%), carpooled (43%), </w:t>
      </w:r>
      <w:r w:rsidR="00E07623">
        <w:rPr>
          <w:rFonts w:eastAsia="Calibri"/>
        </w:rPr>
        <w:t>Train (1%), Airplane (2</w:t>
      </w:r>
      <w:r w:rsidR="003F6F85" w:rsidRPr="00715D60">
        <w:rPr>
          <w:rFonts w:eastAsia="Calibri"/>
        </w:rPr>
        <w:t xml:space="preserve">%) </w:t>
      </w:r>
    </w:p>
    <w:p w:rsidR="003F6F85" w:rsidRPr="00715D60" w:rsidRDefault="003F6F85" w:rsidP="003F6F85">
      <w:pPr>
        <w:rPr>
          <w:rFonts w:eastAsia="Calibri"/>
        </w:rPr>
      </w:pPr>
      <w:r w:rsidRPr="00715D60">
        <w:rPr>
          <w:rFonts w:eastAsia="Calibri"/>
        </w:rPr>
        <w:t>- Favored smaller dimensioned print program</w:t>
      </w:r>
    </w:p>
    <w:p w:rsidR="003F6F85" w:rsidRPr="00715D60" w:rsidRDefault="003F6F85" w:rsidP="003F6F85">
      <w:pPr>
        <w:rPr>
          <w:rFonts w:eastAsia="Calibri"/>
        </w:rPr>
      </w:pPr>
      <w:r w:rsidRPr="00715D60">
        <w:rPr>
          <w:rFonts w:eastAsia="Calibri"/>
        </w:rPr>
        <w:t>-Continue the mobile app</w:t>
      </w:r>
    </w:p>
    <w:p w:rsidR="003F6F85" w:rsidRPr="00715D60" w:rsidRDefault="003F6F85" w:rsidP="003F6F85">
      <w:pPr>
        <w:rPr>
          <w:rFonts w:eastAsia="Calibri"/>
        </w:rPr>
      </w:pPr>
    </w:p>
    <w:p w:rsidR="003F6F85" w:rsidRPr="00715D60" w:rsidRDefault="003F6F85" w:rsidP="003F6F85">
      <w:pPr>
        <w:rPr>
          <w:rFonts w:eastAsia="Calibri"/>
        </w:rPr>
      </w:pPr>
      <w:r w:rsidRPr="00715D60">
        <w:rPr>
          <w:rFonts w:eastAsia="Calibri"/>
          <w:u w:val="single"/>
        </w:rPr>
        <w:t>Overall individual comments</w:t>
      </w:r>
      <w:r w:rsidRPr="00715D60">
        <w:rPr>
          <w:rFonts w:eastAsia="Calibri"/>
        </w:rPr>
        <w:t>:</w:t>
      </w:r>
    </w:p>
    <w:p w:rsidR="003F6F85" w:rsidRPr="00715D60" w:rsidRDefault="003F6F85" w:rsidP="003F6F85">
      <w:pPr>
        <w:rPr>
          <w:rFonts w:eastAsia="Calibri"/>
        </w:rPr>
      </w:pPr>
      <w:r w:rsidRPr="00715D60">
        <w:rPr>
          <w:rFonts w:eastAsia="Calibri"/>
        </w:rPr>
        <w:t>Sessions-responses ranged from great to weak and too basic.</w:t>
      </w:r>
    </w:p>
    <w:p w:rsidR="003F6F85" w:rsidRPr="00715D60" w:rsidRDefault="00E07623" w:rsidP="003F6F85">
      <w:pPr>
        <w:rPr>
          <w:rFonts w:eastAsia="Calibri"/>
        </w:rPr>
      </w:pPr>
      <w:r>
        <w:rPr>
          <w:rFonts w:eastAsia="Calibri"/>
        </w:rPr>
        <w:t>Both Plenary Speakers received many negative comments</w:t>
      </w:r>
    </w:p>
    <w:p w:rsidR="003F6F85" w:rsidRPr="00715D60" w:rsidRDefault="003F6F85" w:rsidP="003F6F85">
      <w:pPr>
        <w:rPr>
          <w:rFonts w:eastAsia="Calibri"/>
          <w:sz w:val="22"/>
          <w:szCs w:val="22"/>
        </w:rPr>
      </w:pPr>
    </w:p>
    <w:p w:rsidR="003F6F85" w:rsidRPr="00715D60" w:rsidRDefault="003F6F85" w:rsidP="003F6F85">
      <w:pPr>
        <w:keepNext/>
        <w:outlineLvl w:val="0"/>
        <w:rPr>
          <w:rFonts w:eastAsia="Calibri"/>
          <w:u w:val="single"/>
        </w:rPr>
      </w:pPr>
      <w:r w:rsidRPr="00715D60">
        <w:rPr>
          <w:rFonts w:eastAsia="Calibri"/>
          <w:u w:val="single"/>
        </w:rPr>
        <w:t>Suggestions</w:t>
      </w:r>
    </w:p>
    <w:p w:rsidR="003F6F85" w:rsidRPr="00715D60" w:rsidRDefault="003F6F85" w:rsidP="003F6F85">
      <w:pPr>
        <w:rPr>
          <w:rFonts w:eastAsia="Calibri"/>
        </w:rPr>
      </w:pPr>
      <w:r w:rsidRPr="00715D60">
        <w:rPr>
          <w:rFonts w:eastAsia="Calibri"/>
        </w:rPr>
        <w:t xml:space="preserve">Revisit the conference bag </w:t>
      </w:r>
      <w:r w:rsidR="00E07623">
        <w:rPr>
          <w:rFonts w:eastAsia="Calibri"/>
        </w:rPr>
        <w:t>size, but like opt out option</w:t>
      </w:r>
    </w:p>
    <w:p w:rsidR="00FA25B8" w:rsidRPr="00715D60" w:rsidRDefault="00E07623" w:rsidP="00FA25B8">
      <w:pPr>
        <w:rPr>
          <w:rFonts w:eastAsia="Calibri"/>
        </w:rPr>
      </w:pPr>
      <w:r>
        <w:rPr>
          <w:rFonts w:eastAsia="Calibri"/>
        </w:rPr>
        <w:t>Remember the vegetarian options</w:t>
      </w:r>
    </w:p>
    <w:p w:rsidR="00FA25B8" w:rsidRPr="00715D60" w:rsidRDefault="00D67DC7" w:rsidP="00FA25B8">
      <w:pPr>
        <w:rPr>
          <w:rFonts w:eastAsia="Calibri"/>
        </w:rPr>
      </w:pPr>
      <w:r w:rsidRPr="00715D60">
        <w:rPr>
          <w:rFonts w:eastAsia="Calibri"/>
        </w:rPr>
        <w:t>Offer m</w:t>
      </w:r>
      <w:r w:rsidR="00FA25B8" w:rsidRPr="00715D60">
        <w:rPr>
          <w:rFonts w:eastAsia="Calibri"/>
        </w:rPr>
        <w:t>ore tech sessions</w:t>
      </w:r>
    </w:p>
    <w:p w:rsidR="00B53F99" w:rsidRPr="00715D60" w:rsidRDefault="00B53F99" w:rsidP="00B53F99">
      <w:pPr>
        <w:jc w:val="both"/>
      </w:pPr>
    </w:p>
    <w:p w:rsidR="004004A9" w:rsidRDefault="004004A9" w:rsidP="00D212A0">
      <w:pPr>
        <w:jc w:val="both"/>
        <w:rPr>
          <w:u w:val="single"/>
        </w:rPr>
      </w:pPr>
      <w:r>
        <w:rPr>
          <w:u w:val="single"/>
        </w:rPr>
        <w:t xml:space="preserve">Overall </w:t>
      </w:r>
      <w:r w:rsidR="00554620">
        <w:rPr>
          <w:u w:val="single"/>
        </w:rPr>
        <w:t xml:space="preserve">Conference </w:t>
      </w:r>
      <w:r w:rsidR="00927AD8">
        <w:rPr>
          <w:u w:val="single"/>
        </w:rPr>
        <w:t xml:space="preserve">Suggestions: </w:t>
      </w:r>
    </w:p>
    <w:p w:rsidR="00BD6974" w:rsidRDefault="00BD6974" w:rsidP="00D212A0">
      <w:pPr>
        <w:jc w:val="both"/>
        <w:rPr>
          <w:u w:val="single"/>
        </w:rPr>
      </w:pPr>
    </w:p>
    <w:p w:rsidR="004004A9" w:rsidRPr="004004A9" w:rsidRDefault="005E1980" w:rsidP="004004A9">
      <w:pPr>
        <w:numPr>
          <w:ilvl w:val="0"/>
          <w:numId w:val="2"/>
        </w:numPr>
        <w:jc w:val="both"/>
        <w:rPr>
          <w:u w:val="single"/>
        </w:rPr>
      </w:pPr>
      <w:r>
        <w:t xml:space="preserve">Continue offering MCLE opportunities </w:t>
      </w:r>
    </w:p>
    <w:p w:rsidR="005E1980" w:rsidRPr="005E1980" w:rsidRDefault="005E1980" w:rsidP="004004A9">
      <w:pPr>
        <w:numPr>
          <w:ilvl w:val="0"/>
          <w:numId w:val="2"/>
        </w:numPr>
        <w:jc w:val="both"/>
      </w:pPr>
      <w:r w:rsidRPr="005E1980">
        <w:t>Require</w:t>
      </w:r>
      <w:r>
        <w:t xml:space="preserve"> submittal of “Mandatory Sessions” during call for presentations</w:t>
      </w:r>
      <w:r w:rsidRPr="005E1980">
        <w:t xml:space="preserve"> </w:t>
      </w:r>
      <w:r w:rsidR="00CD7D32">
        <w:t xml:space="preserve"> and assign a Programs person to follow up</w:t>
      </w:r>
    </w:p>
    <w:p w:rsidR="004004A9" w:rsidRPr="004004A9" w:rsidRDefault="00927AD8" w:rsidP="004004A9">
      <w:pPr>
        <w:numPr>
          <w:ilvl w:val="0"/>
          <w:numId w:val="2"/>
        </w:numPr>
        <w:jc w:val="both"/>
        <w:rPr>
          <w:u w:val="single"/>
        </w:rPr>
      </w:pPr>
      <w:r>
        <w:t>Set realistic conference budget and expectations</w:t>
      </w:r>
      <w:r w:rsidR="004004A9">
        <w:t>, reflective of</w:t>
      </w:r>
      <w:r>
        <w:t xml:space="preserve"> the economic conditions </w:t>
      </w:r>
      <w:r w:rsidR="002B47FD">
        <w:t xml:space="preserve">and location of conference. </w:t>
      </w:r>
      <w:r>
        <w:t xml:space="preserve"> </w:t>
      </w:r>
    </w:p>
    <w:p w:rsidR="004004A9" w:rsidRPr="004004A9" w:rsidRDefault="00252961" w:rsidP="004004A9">
      <w:pPr>
        <w:numPr>
          <w:ilvl w:val="0"/>
          <w:numId w:val="2"/>
        </w:numPr>
        <w:jc w:val="both"/>
        <w:rPr>
          <w:u w:val="single"/>
        </w:rPr>
      </w:pPr>
      <w:r>
        <w:t>Improve coordi</w:t>
      </w:r>
      <w:r w:rsidR="00E07623">
        <w:t>nation between Student Rep and L</w:t>
      </w:r>
      <w:r>
        <w:t xml:space="preserve">HC regarding Student Poster session and decide if this to be a required conference element </w:t>
      </w:r>
      <w:r w:rsidR="00D11A6C">
        <w:t>and who should take lead, i.e. CPF</w:t>
      </w:r>
      <w:r w:rsidR="007374D3">
        <w:t xml:space="preserve"> </w:t>
      </w:r>
    </w:p>
    <w:p w:rsidR="00B259FD" w:rsidRPr="00513128" w:rsidRDefault="004004A9" w:rsidP="004004A9">
      <w:pPr>
        <w:numPr>
          <w:ilvl w:val="0"/>
          <w:numId w:val="2"/>
        </w:numPr>
        <w:jc w:val="both"/>
        <w:rPr>
          <w:u w:val="single"/>
        </w:rPr>
      </w:pPr>
      <w:r>
        <w:t>Continue use of mobile app</w:t>
      </w:r>
      <w:r w:rsidR="005371C7">
        <w:t xml:space="preserve">, </w:t>
      </w:r>
      <w:r w:rsidR="00D11A6C">
        <w:t xml:space="preserve">however, requires budgeting for mobile app, </w:t>
      </w:r>
      <w:r>
        <w:t>via sponsorship opportunity</w:t>
      </w:r>
      <w:r w:rsidR="005371C7">
        <w:t xml:space="preserve"> or </w:t>
      </w:r>
      <w:r w:rsidR="00E07623">
        <w:t>conference budget. Also assign L</w:t>
      </w:r>
      <w:r w:rsidR="005371C7">
        <w:t>HC member mobile app responsibilities and coordination with Francine</w:t>
      </w:r>
      <w:r w:rsidR="007374D3">
        <w:t xml:space="preserve"> </w:t>
      </w:r>
    </w:p>
    <w:p w:rsidR="00513128" w:rsidRPr="00D11A6C" w:rsidRDefault="00E07623" w:rsidP="004004A9">
      <w:pPr>
        <w:numPr>
          <w:ilvl w:val="0"/>
          <w:numId w:val="2"/>
        </w:numPr>
        <w:jc w:val="both"/>
        <w:rPr>
          <w:u w:val="single"/>
        </w:rPr>
      </w:pPr>
      <w:r>
        <w:t xml:space="preserve">Overhaul the </w:t>
      </w:r>
      <w:r w:rsidR="00513128">
        <w:t>Conference Survey</w:t>
      </w:r>
      <w:r>
        <w:t>.  Conference Survey</w:t>
      </w:r>
      <w:r w:rsidR="00513128">
        <w:t xml:space="preserve"> and CM survey should both be electronic via survey monkey and mobile app. This saves paper, allows for automatic calculating of responses.  </w:t>
      </w:r>
    </w:p>
    <w:p w:rsidR="00BD6974" w:rsidRPr="00251950" w:rsidRDefault="00BD6974" w:rsidP="004004A9">
      <w:pPr>
        <w:numPr>
          <w:ilvl w:val="0"/>
          <w:numId w:val="2"/>
        </w:numPr>
        <w:jc w:val="both"/>
        <w:rPr>
          <w:u w:val="single"/>
        </w:rPr>
      </w:pPr>
      <w:r>
        <w:t xml:space="preserve">Update Conference Manual per </w:t>
      </w:r>
      <w:r w:rsidR="00625DD8">
        <w:t>suggestions</w:t>
      </w:r>
      <w:r>
        <w:t xml:space="preserve"> </w:t>
      </w:r>
    </w:p>
    <w:p w:rsidR="00251950" w:rsidRPr="00E07623" w:rsidRDefault="002913C3" w:rsidP="004004A9">
      <w:pPr>
        <w:numPr>
          <w:ilvl w:val="0"/>
          <w:numId w:val="2"/>
        </w:numPr>
        <w:jc w:val="both"/>
        <w:rPr>
          <w:u w:val="single"/>
        </w:rPr>
      </w:pPr>
      <w:r>
        <w:t>C</w:t>
      </w:r>
      <w:r w:rsidR="00251950" w:rsidRPr="00251950">
        <w:t xml:space="preserve">reate a mobile workshop information sheet for each workshop that provides a destination map, contact information and special protocols or rules, as necessary, which can be shared with the bus driver, host, volunteers and host committee’s mobile workshop chair to make sure everyone has the necessary information on the day of the </w:t>
      </w:r>
      <w:r w:rsidR="00251950">
        <w:t>t</w:t>
      </w:r>
      <w:r w:rsidR="00251950" w:rsidRPr="00251950">
        <w:t>our</w:t>
      </w:r>
    </w:p>
    <w:p w:rsidR="00E07623" w:rsidRPr="00251950" w:rsidRDefault="00E07623" w:rsidP="004004A9">
      <w:pPr>
        <w:numPr>
          <w:ilvl w:val="0"/>
          <w:numId w:val="2"/>
        </w:numPr>
        <w:jc w:val="both"/>
        <w:rPr>
          <w:u w:val="single"/>
        </w:rPr>
      </w:pPr>
      <w:r>
        <w:t>See if there is a way to link mobile app to National CM input</w:t>
      </w:r>
    </w:p>
    <w:p w:rsidR="004004A9" w:rsidRDefault="004004A9" w:rsidP="00D212A0">
      <w:pPr>
        <w:jc w:val="both"/>
        <w:rPr>
          <w:u w:val="single"/>
        </w:rPr>
      </w:pPr>
    </w:p>
    <w:p w:rsidR="00D212A0" w:rsidRDefault="00D212A0" w:rsidP="00D212A0">
      <w:pPr>
        <w:jc w:val="both"/>
      </w:pPr>
      <w:r w:rsidRPr="00D212A0">
        <w:rPr>
          <w:u w:val="single"/>
        </w:rPr>
        <w:t>Attachments</w:t>
      </w:r>
      <w:r>
        <w:t>:</w:t>
      </w:r>
    </w:p>
    <w:p w:rsidR="00A51BF5" w:rsidRDefault="00B259FD" w:rsidP="00D212A0">
      <w:pPr>
        <w:jc w:val="both"/>
      </w:pPr>
      <w:r>
        <w:t>Profit and Loss</w:t>
      </w:r>
      <w:r w:rsidR="00B927E8">
        <w:t>-</w:t>
      </w:r>
      <w:r>
        <w:t>CCAPA 20</w:t>
      </w:r>
      <w:r w:rsidR="000027D5">
        <w:t>1</w:t>
      </w:r>
      <w:r w:rsidR="00E07623">
        <w:t>3</w:t>
      </w:r>
      <w:r>
        <w:t xml:space="preserve"> Conference</w:t>
      </w:r>
      <w:r w:rsidR="00CC6843">
        <w:t>-final provided to Board upon receipt of final/bookkeeping and audit</w:t>
      </w:r>
    </w:p>
    <w:p w:rsidR="003F6B91" w:rsidRDefault="003F6B91" w:rsidP="00D212A0">
      <w:pPr>
        <w:jc w:val="both"/>
      </w:pPr>
    </w:p>
    <w:sectPr w:rsidR="003F6B91" w:rsidSect="002113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6" w:rsidRDefault="002B2456">
      <w:r>
        <w:separator/>
      </w:r>
    </w:p>
  </w:endnote>
  <w:endnote w:type="continuationSeparator" w:id="0">
    <w:p w:rsidR="002B2456" w:rsidRDefault="002B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6" w:rsidRDefault="002B2456">
      <w:r>
        <w:separator/>
      </w:r>
    </w:p>
  </w:footnote>
  <w:footnote w:type="continuationSeparator" w:id="0">
    <w:p w:rsidR="002B2456" w:rsidRDefault="002B24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6F20"/>
    <w:multiLevelType w:val="hybridMultilevel"/>
    <w:tmpl w:val="9B50E8B0"/>
    <w:lvl w:ilvl="0" w:tplc="4F561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C283D"/>
    <w:multiLevelType w:val="hybridMultilevel"/>
    <w:tmpl w:val="5DBC7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F45725"/>
    <w:multiLevelType w:val="hybridMultilevel"/>
    <w:tmpl w:val="B96CDB96"/>
    <w:lvl w:ilvl="0" w:tplc="0594403C">
      <w:start w:val="20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FF"/>
    <w:rsid w:val="000027D5"/>
    <w:rsid w:val="0000420C"/>
    <w:rsid w:val="00037160"/>
    <w:rsid w:val="000378C2"/>
    <w:rsid w:val="00044411"/>
    <w:rsid w:val="00062236"/>
    <w:rsid w:val="00074553"/>
    <w:rsid w:val="0009394F"/>
    <w:rsid w:val="00097438"/>
    <w:rsid w:val="000C7286"/>
    <w:rsid w:val="000D63A8"/>
    <w:rsid w:val="000E59F5"/>
    <w:rsid w:val="000E6DF2"/>
    <w:rsid w:val="000F1207"/>
    <w:rsid w:val="00102861"/>
    <w:rsid w:val="00103325"/>
    <w:rsid w:val="00111FC4"/>
    <w:rsid w:val="00124CC5"/>
    <w:rsid w:val="0012773A"/>
    <w:rsid w:val="001754EF"/>
    <w:rsid w:val="00191F04"/>
    <w:rsid w:val="001B7451"/>
    <w:rsid w:val="001C1DCA"/>
    <w:rsid w:val="001C3DB3"/>
    <w:rsid w:val="001E013A"/>
    <w:rsid w:val="001E2B1B"/>
    <w:rsid w:val="00203E9A"/>
    <w:rsid w:val="002113A3"/>
    <w:rsid w:val="002378B4"/>
    <w:rsid w:val="00240E9B"/>
    <w:rsid w:val="00242B9F"/>
    <w:rsid w:val="00251950"/>
    <w:rsid w:val="00252961"/>
    <w:rsid w:val="00290672"/>
    <w:rsid w:val="002913C3"/>
    <w:rsid w:val="0029286E"/>
    <w:rsid w:val="002A7F59"/>
    <w:rsid w:val="002B0996"/>
    <w:rsid w:val="002B2456"/>
    <w:rsid w:val="002B47FD"/>
    <w:rsid w:val="002F7773"/>
    <w:rsid w:val="00300E1F"/>
    <w:rsid w:val="00307B27"/>
    <w:rsid w:val="00312371"/>
    <w:rsid w:val="00314EED"/>
    <w:rsid w:val="00315FF1"/>
    <w:rsid w:val="003610EB"/>
    <w:rsid w:val="0037206B"/>
    <w:rsid w:val="00375A33"/>
    <w:rsid w:val="00381A5A"/>
    <w:rsid w:val="00391670"/>
    <w:rsid w:val="003D4280"/>
    <w:rsid w:val="003E0B8C"/>
    <w:rsid w:val="003F6B91"/>
    <w:rsid w:val="003F6F85"/>
    <w:rsid w:val="004004A9"/>
    <w:rsid w:val="00401109"/>
    <w:rsid w:val="0040179A"/>
    <w:rsid w:val="004106A0"/>
    <w:rsid w:val="00431713"/>
    <w:rsid w:val="00433D92"/>
    <w:rsid w:val="00434AD1"/>
    <w:rsid w:val="00444A6F"/>
    <w:rsid w:val="004537C5"/>
    <w:rsid w:val="00455284"/>
    <w:rsid w:val="004603B8"/>
    <w:rsid w:val="00467205"/>
    <w:rsid w:val="00467D59"/>
    <w:rsid w:val="00492E00"/>
    <w:rsid w:val="004A0614"/>
    <w:rsid w:val="004C2EFE"/>
    <w:rsid w:val="004D36D7"/>
    <w:rsid w:val="004D470D"/>
    <w:rsid w:val="004E098D"/>
    <w:rsid w:val="00513128"/>
    <w:rsid w:val="0051433F"/>
    <w:rsid w:val="0052112D"/>
    <w:rsid w:val="00527293"/>
    <w:rsid w:val="00530EA9"/>
    <w:rsid w:val="005371C7"/>
    <w:rsid w:val="00544428"/>
    <w:rsid w:val="00554620"/>
    <w:rsid w:val="00557BE4"/>
    <w:rsid w:val="00574AEC"/>
    <w:rsid w:val="005762A1"/>
    <w:rsid w:val="005B31EA"/>
    <w:rsid w:val="005B707A"/>
    <w:rsid w:val="005C00E8"/>
    <w:rsid w:val="005C6036"/>
    <w:rsid w:val="005C71A1"/>
    <w:rsid w:val="005E1980"/>
    <w:rsid w:val="005E43FB"/>
    <w:rsid w:val="005F178C"/>
    <w:rsid w:val="005F651C"/>
    <w:rsid w:val="005F7109"/>
    <w:rsid w:val="006018B6"/>
    <w:rsid w:val="00614BDA"/>
    <w:rsid w:val="00625DD8"/>
    <w:rsid w:val="006426EF"/>
    <w:rsid w:val="00644F68"/>
    <w:rsid w:val="006471DD"/>
    <w:rsid w:val="006637E8"/>
    <w:rsid w:val="0068165C"/>
    <w:rsid w:val="006B0728"/>
    <w:rsid w:val="006F4E2D"/>
    <w:rsid w:val="00715D60"/>
    <w:rsid w:val="00734F40"/>
    <w:rsid w:val="007374D3"/>
    <w:rsid w:val="00741D3A"/>
    <w:rsid w:val="00742A4F"/>
    <w:rsid w:val="00744091"/>
    <w:rsid w:val="00783112"/>
    <w:rsid w:val="007A532A"/>
    <w:rsid w:val="007B6EBA"/>
    <w:rsid w:val="007F45B8"/>
    <w:rsid w:val="007F5E70"/>
    <w:rsid w:val="008030DF"/>
    <w:rsid w:val="00811191"/>
    <w:rsid w:val="00812FC8"/>
    <w:rsid w:val="00816DF6"/>
    <w:rsid w:val="00821DC8"/>
    <w:rsid w:val="00830826"/>
    <w:rsid w:val="0085054A"/>
    <w:rsid w:val="008525EF"/>
    <w:rsid w:val="00854C27"/>
    <w:rsid w:val="008E6C8A"/>
    <w:rsid w:val="008F0354"/>
    <w:rsid w:val="008F21A9"/>
    <w:rsid w:val="009040D9"/>
    <w:rsid w:val="00905346"/>
    <w:rsid w:val="00924D91"/>
    <w:rsid w:val="00927AD8"/>
    <w:rsid w:val="00943940"/>
    <w:rsid w:val="0095525E"/>
    <w:rsid w:val="00956FB7"/>
    <w:rsid w:val="00964B50"/>
    <w:rsid w:val="00966783"/>
    <w:rsid w:val="009853B4"/>
    <w:rsid w:val="00990F1C"/>
    <w:rsid w:val="009932CE"/>
    <w:rsid w:val="00993948"/>
    <w:rsid w:val="009951A4"/>
    <w:rsid w:val="009B484F"/>
    <w:rsid w:val="009D0613"/>
    <w:rsid w:val="009D28A9"/>
    <w:rsid w:val="009E64A6"/>
    <w:rsid w:val="00A40C3F"/>
    <w:rsid w:val="00A51BF5"/>
    <w:rsid w:val="00A63556"/>
    <w:rsid w:val="00A67A77"/>
    <w:rsid w:val="00A81CC0"/>
    <w:rsid w:val="00A85152"/>
    <w:rsid w:val="00A974B2"/>
    <w:rsid w:val="00AA17BE"/>
    <w:rsid w:val="00AD0F83"/>
    <w:rsid w:val="00AE1973"/>
    <w:rsid w:val="00AE36B6"/>
    <w:rsid w:val="00AF67DD"/>
    <w:rsid w:val="00B01544"/>
    <w:rsid w:val="00B232A2"/>
    <w:rsid w:val="00B259FD"/>
    <w:rsid w:val="00B2626F"/>
    <w:rsid w:val="00B41FF4"/>
    <w:rsid w:val="00B53F99"/>
    <w:rsid w:val="00B55941"/>
    <w:rsid w:val="00B60EDC"/>
    <w:rsid w:val="00B66393"/>
    <w:rsid w:val="00B71EC7"/>
    <w:rsid w:val="00B927E8"/>
    <w:rsid w:val="00BA5CF7"/>
    <w:rsid w:val="00BB31C1"/>
    <w:rsid w:val="00BD6974"/>
    <w:rsid w:val="00BF0E33"/>
    <w:rsid w:val="00BF6524"/>
    <w:rsid w:val="00C10D55"/>
    <w:rsid w:val="00C253BB"/>
    <w:rsid w:val="00C31CE3"/>
    <w:rsid w:val="00C35446"/>
    <w:rsid w:val="00C52734"/>
    <w:rsid w:val="00C8147C"/>
    <w:rsid w:val="00C837D6"/>
    <w:rsid w:val="00C938EB"/>
    <w:rsid w:val="00CB64ED"/>
    <w:rsid w:val="00CC6843"/>
    <w:rsid w:val="00CD509A"/>
    <w:rsid w:val="00CD66FD"/>
    <w:rsid w:val="00CD7B3C"/>
    <w:rsid w:val="00CD7D32"/>
    <w:rsid w:val="00CE1C23"/>
    <w:rsid w:val="00D10A2F"/>
    <w:rsid w:val="00D112BF"/>
    <w:rsid w:val="00D11A6C"/>
    <w:rsid w:val="00D212A0"/>
    <w:rsid w:val="00D22C44"/>
    <w:rsid w:val="00D35051"/>
    <w:rsid w:val="00D44C20"/>
    <w:rsid w:val="00D50A5D"/>
    <w:rsid w:val="00D67DC7"/>
    <w:rsid w:val="00DB5DEE"/>
    <w:rsid w:val="00DC084D"/>
    <w:rsid w:val="00DC0F55"/>
    <w:rsid w:val="00DE4704"/>
    <w:rsid w:val="00DE4EFF"/>
    <w:rsid w:val="00DE675C"/>
    <w:rsid w:val="00E04DA2"/>
    <w:rsid w:val="00E07623"/>
    <w:rsid w:val="00E15E67"/>
    <w:rsid w:val="00E25BA3"/>
    <w:rsid w:val="00E371DB"/>
    <w:rsid w:val="00E421A7"/>
    <w:rsid w:val="00E43BF9"/>
    <w:rsid w:val="00E76DB1"/>
    <w:rsid w:val="00E83113"/>
    <w:rsid w:val="00E83833"/>
    <w:rsid w:val="00E84D21"/>
    <w:rsid w:val="00EB05F2"/>
    <w:rsid w:val="00EB0A25"/>
    <w:rsid w:val="00EB40F2"/>
    <w:rsid w:val="00EC0A9B"/>
    <w:rsid w:val="00EC39A9"/>
    <w:rsid w:val="00F21971"/>
    <w:rsid w:val="00F27B52"/>
    <w:rsid w:val="00F43F2A"/>
    <w:rsid w:val="00F52D6D"/>
    <w:rsid w:val="00F602F0"/>
    <w:rsid w:val="00F63241"/>
    <w:rsid w:val="00F75B3C"/>
    <w:rsid w:val="00F84A37"/>
    <w:rsid w:val="00FA25B8"/>
    <w:rsid w:val="00FC391D"/>
    <w:rsid w:val="00FE17FE"/>
    <w:rsid w:val="00FF0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table" w:styleId="TableGrid">
    <w:name w:val="Table Grid"/>
    <w:basedOn w:val="TableNormal"/>
    <w:rsid w:val="00FC3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8165C"/>
    <w:rPr>
      <w:b/>
      <w:bCs/>
    </w:rPr>
  </w:style>
  <w:style w:type="character" w:styleId="CommentReference">
    <w:name w:val="annotation reference"/>
    <w:rsid w:val="00A81CC0"/>
    <w:rPr>
      <w:sz w:val="16"/>
      <w:szCs w:val="16"/>
    </w:rPr>
  </w:style>
  <w:style w:type="paragraph" w:styleId="CommentText">
    <w:name w:val="annotation text"/>
    <w:basedOn w:val="Normal"/>
    <w:link w:val="CommentTextChar"/>
    <w:rsid w:val="00A81CC0"/>
    <w:rPr>
      <w:sz w:val="20"/>
      <w:szCs w:val="20"/>
    </w:rPr>
  </w:style>
  <w:style w:type="character" w:customStyle="1" w:styleId="CommentTextChar">
    <w:name w:val="Comment Text Char"/>
    <w:basedOn w:val="DefaultParagraphFont"/>
    <w:link w:val="CommentText"/>
    <w:rsid w:val="00A81CC0"/>
  </w:style>
  <w:style w:type="paragraph" w:styleId="CommentSubject">
    <w:name w:val="annotation subject"/>
    <w:basedOn w:val="CommentText"/>
    <w:next w:val="CommentText"/>
    <w:link w:val="CommentSubjectChar"/>
    <w:rsid w:val="00A81CC0"/>
    <w:rPr>
      <w:b/>
      <w:bCs/>
    </w:rPr>
  </w:style>
  <w:style w:type="character" w:customStyle="1" w:styleId="CommentSubjectChar">
    <w:name w:val="Comment Subject Char"/>
    <w:link w:val="CommentSubject"/>
    <w:rsid w:val="00A81CC0"/>
    <w:rPr>
      <w:b/>
      <w:bCs/>
    </w:rPr>
  </w:style>
  <w:style w:type="paragraph" w:styleId="BalloonText">
    <w:name w:val="Balloon Text"/>
    <w:basedOn w:val="Normal"/>
    <w:link w:val="BalloonTextChar"/>
    <w:rsid w:val="00A81CC0"/>
    <w:rPr>
      <w:rFonts w:ascii="Tahoma" w:hAnsi="Tahoma" w:cs="Tahoma"/>
      <w:sz w:val="16"/>
      <w:szCs w:val="16"/>
    </w:rPr>
  </w:style>
  <w:style w:type="character" w:customStyle="1" w:styleId="BalloonTextChar">
    <w:name w:val="Balloon Text Char"/>
    <w:link w:val="BalloonText"/>
    <w:rsid w:val="00A81CC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table" w:styleId="TableGrid">
    <w:name w:val="Table Grid"/>
    <w:basedOn w:val="TableNormal"/>
    <w:rsid w:val="00FC3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8165C"/>
    <w:rPr>
      <w:b/>
      <w:bCs/>
    </w:rPr>
  </w:style>
  <w:style w:type="character" w:styleId="CommentReference">
    <w:name w:val="annotation reference"/>
    <w:rsid w:val="00A81CC0"/>
    <w:rPr>
      <w:sz w:val="16"/>
      <w:szCs w:val="16"/>
    </w:rPr>
  </w:style>
  <w:style w:type="paragraph" w:styleId="CommentText">
    <w:name w:val="annotation text"/>
    <w:basedOn w:val="Normal"/>
    <w:link w:val="CommentTextChar"/>
    <w:rsid w:val="00A81CC0"/>
    <w:rPr>
      <w:sz w:val="20"/>
      <w:szCs w:val="20"/>
    </w:rPr>
  </w:style>
  <w:style w:type="character" w:customStyle="1" w:styleId="CommentTextChar">
    <w:name w:val="Comment Text Char"/>
    <w:basedOn w:val="DefaultParagraphFont"/>
    <w:link w:val="CommentText"/>
    <w:rsid w:val="00A81CC0"/>
  </w:style>
  <w:style w:type="paragraph" w:styleId="CommentSubject">
    <w:name w:val="annotation subject"/>
    <w:basedOn w:val="CommentText"/>
    <w:next w:val="CommentText"/>
    <w:link w:val="CommentSubjectChar"/>
    <w:rsid w:val="00A81CC0"/>
    <w:rPr>
      <w:b/>
      <w:bCs/>
    </w:rPr>
  </w:style>
  <w:style w:type="character" w:customStyle="1" w:styleId="CommentSubjectChar">
    <w:name w:val="Comment Subject Char"/>
    <w:link w:val="CommentSubject"/>
    <w:rsid w:val="00A81CC0"/>
    <w:rPr>
      <w:b/>
      <w:bCs/>
    </w:rPr>
  </w:style>
  <w:style w:type="paragraph" w:styleId="BalloonText">
    <w:name w:val="Balloon Text"/>
    <w:basedOn w:val="Normal"/>
    <w:link w:val="BalloonTextChar"/>
    <w:rsid w:val="00A81CC0"/>
    <w:rPr>
      <w:rFonts w:ascii="Tahoma" w:hAnsi="Tahoma" w:cs="Tahoma"/>
      <w:sz w:val="16"/>
      <w:szCs w:val="16"/>
    </w:rPr>
  </w:style>
  <w:style w:type="character" w:customStyle="1" w:styleId="BalloonTextChar">
    <w:name w:val="Balloon Text Char"/>
    <w:link w:val="BalloonText"/>
    <w:rsid w:val="00A81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4653B-EA82-A64A-820F-6294B0F3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9220</Characters>
  <Application>Microsoft Macintosh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Lauren De Valencia y Sanchez </cp:lastModifiedBy>
  <cp:revision>2</cp:revision>
  <cp:lastPrinted>2013-01-02T19:30:00Z</cp:lastPrinted>
  <dcterms:created xsi:type="dcterms:W3CDTF">2014-01-13T19:09:00Z</dcterms:created>
  <dcterms:modified xsi:type="dcterms:W3CDTF">2014-01-13T19:09:00Z</dcterms:modified>
</cp:coreProperties>
</file>