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8D8" w:rsidRDefault="00FE68D8">
      <w:bookmarkStart w:id="0" w:name="_GoBack"/>
      <w:bookmarkEnd w:id="0"/>
      <w:r>
        <w:rPr>
          <w:noProof/>
          <w:color w:val="1F497D"/>
        </w:rPr>
        <w:drawing>
          <wp:inline distT="0" distB="0" distL="0" distR="0" wp14:anchorId="1BA9CC87" wp14:editId="5C181A07">
            <wp:extent cx="2161881" cy="1171575"/>
            <wp:effectExtent l="19050" t="0" r="0" b="0"/>
            <wp:docPr id="2"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7" r:link="rId8" cstate="print"/>
                    <a:srcRect/>
                    <a:stretch>
                      <a:fillRect/>
                    </a:stretch>
                  </pic:blipFill>
                  <pic:spPr bwMode="auto">
                    <a:xfrm>
                      <a:off x="0" y="0"/>
                      <a:ext cx="2166620" cy="1174143"/>
                    </a:xfrm>
                    <a:prstGeom prst="rect">
                      <a:avLst/>
                    </a:prstGeom>
                    <a:noFill/>
                    <a:ln w="9525">
                      <a:noFill/>
                      <a:miter lim="800000"/>
                      <a:headEnd/>
                      <a:tailEnd/>
                    </a:ln>
                  </pic:spPr>
                </pic:pic>
              </a:graphicData>
            </a:graphic>
          </wp:inline>
        </w:drawing>
      </w:r>
    </w:p>
    <w:p w:rsidR="00FE68D8" w:rsidRDefault="00FE68D8"/>
    <w:p w:rsidR="009B76C1" w:rsidRPr="00F66D56" w:rsidRDefault="00840690">
      <w:pPr>
        <w:rPr>
          <w:b/>
        </w:rPr>
      </w:pPr>
      <w:r w:rsidRPr="00F66D56">
        <w:rPr>
          <w:b/>
        </w:rPr>
        <w:t xml:space="preserve">TO: </w:t>
      </w:r>
      <w:r w:rsidRPr="00F66D56">
        <w:rPr>
          <w:b/>
        </w:rPr>
        <w:tab/>
      </w:r>
      <w:r w:rsidRPr="00F66D56">
        <w:rPr>
          <w:b/>
        </w:rPr>
        <w:tab/>
        <w:t>APA California Chapter Board</w:t>
      </w:r>
    </w:p>
    <w:p w:rsidR="00840690" w:rsidRPr="00F66D56" w:rsidRDefault="00840690">
      <w:pPr>
        <w:rPr>
          <w:b/>
        </w:rPr>
      </w:pPr>
      <w:r w:rsidRPr="00F66D56">
        <w:rPr>
          <w:b/>
        </w:rPr>
        <w:t>FROM</w:t>
      </w:r>
      <w:r w:rsidRPr="00F66D56">
        <w:rPr>
          <w:b/>
        </w:rPr>
        <w:tab/>
      </w:r>
      <w:r w:rsidRPr="00F66D56">
        <w:rPr>
          <w:b/>
        </w:rPr>
        <w:tab/>
        <w:t>Greg Konar, AICP, Vice President for Marketing and Membership</w:t>
      </w:r>
    </w:p>
    <w:p w:rsidR="00840690" w:rsidRPr="00F66D56" w:rsidRDefault="00840690">
      <w:pPr>
        <w:rPr>
          <w:b/>
        </w:rPr>
      </w:pPr>
      <w:r w:rsidRPr="00F66D56">
        <w:rPr>
          <w:b/>
        </w:rPr>
        <w:t xml:space="preserve">DATE: </w:t>
      </w:r>
      <w:r w:rsidRPr="00F66D56">
        <w:rPr>
          <w:b/>
        </w:rPr>
        <w:tab/>
      </w:r>
      <w:r w:rsidRPr="00F66D56">
        <w:rPr>
          <w:b/>
        </w:rPr>
        <w:tab/>
        <w:t>APA California Chapter Retreat, January 2016</w:t>
      </w:r>
    </w:p>
    <w:p w:rsidR="00840690" w:rsidRPr="00F66D56" w:rsidRDefault="00840690" w:rsidP="00840690">
      <w:pPr>
        <w:ind w:left="1440" w:hanging="1440"/>
        <w:rPr>
          <w:b/>
        </w:rPr>
      </w:pPr>
      <w:r w:rsidRPr="00F66D56">
        <w:rPr>
          <w:b/>
        </w:rPr>
        <w:t xml:space="preserve">SUBJECT: </w:t>
      </w:r>
      <w:r w:rsidRPr="00F66D56">
        <w:rPr>
          <w:b/>
        </w:rPr>
        <w:tab/>
        <w:t xml:space="preserve">Distance Education Webinars and Session Recordings – Update </w:t>
      </w:r>
    </w:p>
    <w:p w:rsidR="00F31921" w:rsidRDefault="00F31921" w:rsidP="00840690">
      <w:pPr>
        <w:ind w:left="1440" w:hanging="1440"/>
        <w:rPr>
          <w:u w:val="single"/>
        </w:rPr>
      </w:pPr>
    </w:p>
    <w:p w:rsidR="00840690" w:rsidRPr="00223291" w:rsidRDefault="00840690" w:rsidP="00840690">
      <w:pPr>
        <w:ind w:left="1440" w:hanging="1440"/>
        <w:rPr>
          <w:u w:val="single"/>
        </w:rPr>
      </w:pPr>
      <w:r w:rsidRPr="00223291">
        <w:rPr>
          <w:u w:val="single"/>
        </w:rPr>
        <w:t xml:space="preserve">Background </w:t>
      </w:r>
    </w:p>
    <w:p w:rsidR="00036F04" w:rsidRDefault="00544B2C" w:rsidP="001D4BC0">
      <w:r>
        <w:t>The current</w:t>
      </w:r>
      <w:r w:rsidR="00840690">
        <w:t xml:space="preserve"> </w:t>
      </w:r>
      <w:r w:rsidR="001D6030">
        <w:t xml:space="preserve">APA California </w:t>
      </w:r>
      <w:r w:rsidR="00FE0F2B">
        <w:t>D</w:t>
      </w:r>
      <w:r w:rsidR="00840690">
        <w:t xml:space="preserve">istance </w:t>
      </w:r>
      <w:r w:rsidR="00FE0F2B">
        <w:t>E</w:t>
      </w:r>
      <w:r w:rsidR="00840690">
        <w:t xml:space="preserve">ducation </w:t>
      </w:r>
      <w:r w:rsidR="00FE0F2B">
        <w:t xml:space="preserve">Program </w:t>
      </w:r>
      <w:r w:rsidR="00840690">
        <w:t xml:space="preserve">was initiated in 2014. </w:t>
      </w:r>
      <w:r w:rsidR="001D4BC0">
        <w:t xml:space="preserve">A key objective of the program was </w:t>
      </w:r>
      <w:r w:rsidR="00DD3F1D">
        <w:t xml:space="preserve">to </w:t>
      </w:r>
      <w:r w:rsidR="00FE0F2B">
        <w:t>offer</w:t>
      </w:r>
      <w:r w:rsidR="001D4BC0">
        <w:t xml:space="preserve"> CM credit opportunities for AICP members unable to attend the Chapter conference</w:t>
      </w:r>
      <w:r w:rsidR="005445B6">
        <w:t xml:space="preserve">. </w:t>
      </w:r>
      <w:r w:rsidR="00943592">
        <w:t xml:space="preserve"> </w:t>
      </w:r>
      <w:r w:rsidR="006540F0">
        <w:t>Video r</w:t>
      </w:r>
      <w:r w:rsidR="005565D1">
        <w:t xml:space="preserve">ecordings of several live sessions were made at the 2014 Anaheim Conference and the 2015 Oakland Conference. </w:t>
      </w:r>
      <w:r w:rsidR="005445B6">
        <w:t>Registration information is summarized in the following table.</w:t>
      </w:r>
    </w:p>
    <w:p w:rsidR="00943592" w:rsidRDefault="00943592" w:rsidP="001D4BC0"/>
    <w:p w:rsidR="005565D1" w:rsidRPr="005565D1" w:rsidRDefault="005565D1" w:rsidP="005565D1">
      <w:pPr>
        <w:jc w:val="center"/>
        <w:rPr>
          <w:b/>
        </w:rPr>
      </w:pPr>
      <w:r w:rsidRPr="005565D1">
        <w:rPr>
          <w:b/>
        </w:rPr>
        <w:t>APA California Distance Education Registrations</w:t>
      </w:r>
      <w:r w:rsidR="00E562B4">
        <w:rPr>
          <w:b/>
        </w:rPr>
        <w:t xml:space="preserve"> as of 12-17-15</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6295"/>
        <w:gridCol w:w="1440"/>
        <w:gridCol w:w="1615"/>
      </w:tblGrid>
      <w:tr w:rsidR="00036F04" w:rsidTr="005445B6">
        <w:trPr>
          <w:trHeight w:val="431"/>
        </w:trPr>
        <w:tc>
          <w:tcPr>
            <w:tcW w:w="6295" w:type="dxa"/>
            <w:vAlign w:val="center"/>
          </w:tcPr>
          <w:p w:rsidR="00036F04" w:rsidRPr="00036F04" w:rsidRDefault="00036F04" w:rsidP="005445B6">
            <w:pPr>
              <w:jc w:val="center"/>
              <w:rPr>
                <w:b/>
                <w:sz w:val="20"/>
                <w:szCs w:val="20"/>
              </w:rPr>
            </w:pPr>
            <w:r w:rsidRPr="00036F04">
              <w:rPr>
                <w:b/>
                <w:sz w:val="20"/>
                <w:szCs w:val="20"/>
              </w:rPr>
              <w:t>Session</w:t>
            </w:r>
          </w:p>
        </w:tc>
        <w:tc>
          <w:tcPr>
            <w:tcW w:w="1440" w:type="dxa"/>
            <w:vAlign w:val="center"/>
          </w:tcPr>
          <w:p w:rsidR="00036F04" w:rsidRPr="00036F04" w:rsidRDefault="00036F04" w:rsidP="005445B6">
            <w:pPr>
              <w:jc w:val="center"/>
              <w:rPr>
                <w:b/>
                <w:sz w:val="20"/>
                <w:szCs w:val="20"/>
              </w:rPr>
            </w:pPr>
            <w:r w:rsidRPr="00036F04">
              <w:rPr>
                <w:b/>
                <w:sz w:val="20"/>
                <w:szCs w:val="20"/>
              </w:rPr>
              <w:t>Registrations</w:t>
            </w:r>
          </w:p>
        </w:tc>
        <w:tc>
          <w:tcPr>
            <w:tcW w:w="1615" w:type="dxa"/>
            <w:vAlign w:val="center"/>
          </w:tcPr>
          <w:p w:rsidR="00036F04" w:rsidRPr="00036F04" w:rsidRDefault="00036F04" w:rsidP="005445B6">
            <w:pPr>
              <w:jc w:val="center"/>
              <w:rPr>
                <w:b/>
                <w:sz w:val="20"/>
                <w:szCs w:val="20"/>
              </w:rPr>
            </w:pPr>
            <w:r w:rsidRPr="00036F04">
              <w:rPr>
                <w:b/>
                <w:sz w:val="20"/>
                <w:szCs w:val="20"/>
              </w:rPr>
              <w:t>Release Date</w:t>
            </w:r>
          </w:p>
        </w:tc>
      </w:tr>
      <w:tr w:rsidR="005565D1" w:rsidTr="005445B6">
        <w:tc>
          <w:tcPr>
            <w:tcW w:w="9350" w:type="dxa"/>
            <w:gridSpan w:val="3"/>
            <w:shd w:val="clear" w:color="auto" w:fill="BDD6EE" w:themeFill="accent1" w:themeFillTint="66"/>
          </w:tcPr>
          <w:p w:rsidR="005565D1" w:rsidRPr="00036F04" w:rsidRDefault="005565D1" w:rsidP="001D4BC0">
            <w:pPr>
              <w:rPr>
                <w:sz w:val="20"/>
                <w:szCs w:val="20"/>
              </w:rPr>
            </w:pPr>
            <w:r w:rsidRPr="00F43CA1">
              <w:rPr>
                <w:b/>
                <w:sz w:val="20"/>
                <w:szCs w:val="20"/>
              </w:rPr>
              <w:t>2014 Anaheim Conference</w:t>
            </w:r>
          </w:p>
        </w:tc>
      </w:tr>
      <w:tr w:rsidR="00036F04" w:rsidTr="005445B6">
        <w:tc>
          <w:tcPr>
            <w:tcW w:w="6295" w:type="dxa"/>
          </w:tcPr>
          <w:p w:rsidR="00036F04" w:rsidRPr="00036F04" w:rsidRDefault="00093189" w:rsidP="00F43CA1">
            <w:pPr>
              <w:rPr>
                <w:sz w:val="20"/>
                <w:szCs w:val="20"/>
              </w:rPr>
            </w:pPr>
            <w:r>
              <w:rPr>
                <w:sz w:val="20"/>
                <w:szCs w:val="20"/>
              </w:rPr>
              <w:t>Doing the Right Thin</w:t>
            </w:r>
            <w:r w:rsidR="00F43CA1">
              <w:rPr>
                <w:sz w:val="20"/>
                <w:szCs w:val="20"/>
              </w:rPr>
              <w:t>g</w:t>
            </w:r>
            <w:r>
              <w:rPr>
                <w:sz w:val="20"/>
                <w:szCs w:val="20"/>
              </w:rPr>
              <w:t xml:space="preserve">: </w:t>
            </w:r>
            <w:r w:rsidR="00036F04">
              <w:rPr>
                <w:sz w:val="20"/>
                <w:szCs w:val="20"/>
              </w:rPr>
              <w:t>Ethical Practices for a Diverse Population</w:t>
            </w:r>
            <w:r>
              <w:rPr>
                <w:sz w:val="20"/>
                <w:szCs w:val="20"/>
              </w:rPr>
              <w:t xml:space="preserve"> CM | 1.5 Ethics</w:t>
            </w:r>
          </w:p>
        </w:tc>
        <w:tc>
          <w:tcPr>
            <w:tcW w:w="1440" w:type="dxa"/>
          </w:tcPr>
          <w:p w:rsidR="00036F04" w:rsidRPr="0077006A" w:rsidRDefault="0077006A" w:rsidP="00A112E2">
            <w:pPr>
              <w:rPr>
                <w:sz w:val="20"/>
                <w:szCs w:val="20"/>
              </w:rPr>
            </w:pPr>
            <w:r w:rsidRPr="0077006A">
              <w:rPr>
                <w:sz w:val="20"/>
                <w:szCs w:val="20"/>
              </w:rPr>
              <w:t>3</w:t>
            </w:r>
            <w:r w:rsidR="00A112E2">
              <w:rPr>
                <w:sz w:val="20"/>
                <w:szCs w:val="20"/>
              </w:rPr>
              <w:t>9</w:t>
            </w:r>
          </w:p>
        </w:tc>
        <w:tc>
          <w:tcPr>
            <w:tcW w:w="1615" w:type="dxa"/>
          </w:tcPr>
          <w:p w:rsidR="00036F04" w:rsidRPr="00600BE2" w:rsidRDefault="00C05A4B" w:rsidP="00C05A4B">
            <w:pPr>
              <w:rPr>
                <w:sz w:val="20"/>
                <w:szCs w:val="20"/>
              </w:rPr>
            </w:pPr>
            <w:r>
              <w:rPr>
                <w:sz w:val="20"/>
                <w:szCs w:val="20"/>
              </w:rPr>
              <w:t>10/10/</w:t>
            </w:r>
            <w:r w:rsidR="009F1C8C" w:rsidRPr="00600BE2">
              <w:rPr>
                <w:sz w:val="20"/>
                <w:szCs w:val="20"/>
              </w:rPr>
              <w:t>2014</w:t>
            </w:r>
          </w:p>
        </w:tc>
      </w:tr>
      <w:tr w:rsidR="00C05A4B" w:rsidTr="005445B6">
        <w:tc>
          <w:tcPr>
            <w:tcW w:w="6295" w:type="dxa"/>
          </w:tcPr>
          <w:p w:rsidR="00C05A4B" w:rsidRPr="00F43CA1" w:rsidRDefault="00C05A4B" w:rsidP="00C05A4B">
            <w:pPr>
              <w:rPr>
                <w:sz w:val="20"/>
                <w:szCs w:val="20"/>
              </w:rPr>
            </w:pPr>
            <w:r w:rsidRPr="00F43CA1">
              <w:rPr>
                <w:sz w:val="20"/>
                <w:szCs w:val="20"/>
              </w:rPr>
              <w:t>Show Me the Water</w:t>
            </w:r>
            <w:r>
              <w:rPr>
                <w:sz w:val="20"/>
                <w:szCs w:val="20"/>
              </w:rPr>
              <w:t>: Demonstrating Water Supplies for New Development in a Drought Era CM | 1.5</w:t>
            </w:r>
          </w:p>
        </w:tc>
        <w:tc>
          <w:tcPr>
            <w:tcW w:w="1440" w:type="dxa"/>
          </w:tcPr>
          <w:p w:rsidR="00C05A4B" w:rsidRPr="0077006A" w:rsidRDefault="0077006A" w:rsidP="00A112E2">
            <w:pPr>
              <w:rPr>
                <w:sz w:val="20"/>
                <w:szCs w:val="20"/>
              </w:rPr>
            </w:pPr>
            <w:r w:rsidRPr="0077006A">
              <w:rPr>
                <w:sz w:val="20"/>
                <w:szCs w:val="20"/>
              </w:rPr>
              <w:t>1</w:t>
            </w:r>
            <w:r w:rsidR="00A112E2">
              <w:rPr>
                <w:sz w:val="20"/>
                <w:szCs w:val="20"/>
              </w:rPr>
              <w:t>2</w:t>
            </w:r>
          </w:p>
        </w:tc>
        <w:tc>
          <w:tcPr>
            <w:tcW w:w="1615" w:type="dxa"/>
          </w:tcPr>
          <w:p w:rsidR="00C05A4B" w:rsidRPr="00C05A4B" w:rsidRDefault="00C05A4B" w:rsidP="00C05A4B">
            <w:pPr>
              <w:rPr>
                <w:sz w:val="20"/>
                <w:szCs w:val="20"/>
              </w:rPr>
            </w:pPr>
            <w:r w:rsidRPr="00C05A4B">
              <w:rPr>
                <w:rFonts w:cs="Arial"/>
                <w:color w:val="333333"/>
                <w:sz w:val="20"/>
                <w:szCs w:val="20"/>
                <w:shd w:val="clear" w:color="auto" w:fill="FFFFFF"/>
              </w:rPr>
              <w:t>5/14/2015</w:t>
            </w:r>
          </w:p>
        </w:tc>
      </w:tr>
      <w:tr w:rsidR="00C05A4B" w:rsidTr="005445B6">
        <w:tc>
          <w:tcPr>
            <w:tcW w:w="6295" w:type="dxa"/>
          </w:tcPr>
          <w:p w:rsidR="00C05A4B" w:rsidRPr="00ED15D7" w:rsidRDefault="00C05A4B" w:rsidP="00C05A4B">
            <w:pPr>
              <w:rPr>
                <w:sz w:val="20"/>
                <w:szCs w:val="20"/>
              </w:rPr>
            </w:pPr>
            <w:r w:rsidRPr="00ED15D7">
              <w:rPr>
                <w:sz w:val="20"/>
                <w:szCs w:val="20"/>
              </w:rPr>
              <w:t>Implementing Smart Growth</w:t>
            </w:r>
            <w:r>
              <w:rPr>
                <w:sz w:val="20"/>
                <w:szCs w:val="20"/>
              </w:rPr>
              <w:t xml:space="preserve"> Through Zoning: Where the Rubber Meets the Road CM | 1.5</w:t>
            </w:r>
          </w:p>
        </w:tc>
        <w:tc>
          <w:tcPr>
            <w:tcW w:w="1440" w:type="dxa"/>
          </w:tcPr>
          <w:p w:rsidR="00C05A4B" w:rsidRPr="0077006A" w:rsidRDefault="00A112E2" w:rsidP="00C05A4B">
            <w:pPr>
              <w:rPr>
                <w:sz w:val="20"/>
                <w:szCs w:val="20"/>
              </w:rPr>
            </w:pPr>
            <w:r>
              <w:rPr>
                <w:sz w:val="20"/>
                <w:szCs w:val="20"/>
              </w:rPr>
              <w:t>4</w:t>
            </w:r>
          </w:p>
        </w:tc>
        <w:tc>
          <w:tcPr>
            <w:tcW w:w="1615" w:type="dxa"/>
          </w:tcPr>
          <w:p w:rsidR="00C05A4B" w:rsidRPr="00C05A4B" w:rsidRDefault="00C05A4B" w:rsidP="00C05A4B">
            <w:pPr>
              <w:rPr>
                <w:sz w:val="20"/>
                <w:szCs w:val="20"/>
              </w:rPr>
            </w:pPr>
            <w:r w:rsidRPr="00C05A4B">
              <w:rPr>
                <w:rFonts w:cs="Arial"/>
                <w:color w:val="333333"/>
                <w:sz w:val="20"/>
                <w:szCs w:val="20"/>
                <w:shd w:val="clear" w:color="auto" w:fill="FFFFFF"/>
              </w:rPr>
              <w:t>5/14/2015</w:t>
            </w:r>
          </w:p>
        </w:tc>
      </w:tr>
      <w:tr w:rsidR="00036F04" w:rsidTr="005445B6">
        <w:tc>
          <w:tcPr>
            <w:tcW w:w="6295" w:type="dxa"/>
          </w:tcPr>
          <w:p w:rsidR="00036F04" w:rsidRPr="00ED15D7" w:rsidRDefault="00F43CA1" w:rsidP="001D4BC0">
            <w:pPr>
              <w:rPr>
                <w:sz w:val="20"/>
                <w:szCs w:val="20"/>
              </w:rPr>
            </w:pPr>
            <w:r w:rsidRPr="00ED15D7">
              <w:rPr>
                <w:sz w:val="20"/>
                <w:szCs w:val="20"/>
              </w:rPr>
              <w:t>Outreach to the Silent Majority</w:t>
            </w:r>
            <w:r w:rsidR="00C84C98">
              <w:rPr>
                <w:sz w:val="20"/>
                <w:szCs w:val="20"/>
              </w:rPr>
              <w:t xml:space="preserve"> CM | 1.5</w:t>
            </w:r>
          </w:p>
        </w:tc>
        <w:tc>
          <w:tcPr>
            <w:tcW w:w="1440" w:type="dxa"/>
          </w:tcPr>
          <w:p w:rsidR="00036F04" w:rsidRPr="0077006A" w:rsidRDefault="00A112E2" w:rsidP="001D4BC0">
            <w:pPr>
              <w:rPr>
                <w:sz w:val="20"/>
                <w:szCs w:val="20"/>
              </w:rPr>
            </w:pPr>
            <w:r>
              <w:rPr>
                <w:sz w:val="20"/>
                <w:szCs w:val="20"/>
              </w:rPr>
              <w:t>9</w:t>
            </w:r>
          </w:p>
        </w:tc>
        <w:tc>
          <w:tcPr>
            <w:tcW w:w="1615" w:type="dxa"/>
          </w:tcPr>
          <w:p w:rsidR="00036F04" w:rsidRPr="00C05A4B" w:rsidRDefault="00600BE2" w:rsidP="00600BE2">
            <w:pPr>
              <w:rPr>
                <w:sz w:val="20"/>
                <w:szCs w:val="20"/>
              </w:rPr>
            </w:pPr>
            <w:r w:rsidRPr="00C05A4B">
              <w:rPr>
                <w:rFonts w:cs="Arial"/>
                <w:color w:val="333333"/>
                <w:sz w:val="20"/>
                <w:szCs w:val="20"/>
                <w:shd w:val="clear" w:color="auto" w:fill="FFFFFF"/>
              </w:rPr>
              <w:t>5/14/2015</w:t>
            </w:r>
          </w:p>
        </w:tc>
      </w:tr>
      <w:tr w:rsidR="00036F04" w:rsidTr="005445B6">
        <w:tc>
          <w:tcPr>
            <w:tcW w:w="6295" w:type="dxa"/>
          </w:tcPr>
          <w:p w:rsidR="00036F04" w:rsidRPr="00ED15D7" w:rsidRDefault="00F43CA1" w:rsidP="001D4BC0">
            <w:pPr>
              <w:rPr>
                <w:sz w:val="20"/>
                <w:szCs w:val="20"/>
              </w:rPr>
            </w:pPr>
            <w:r w:rsidRPr="00ED15D7">
              <w:rPr>
                <w:sz w:val="20"/>
                <w:szCs w:val="20"/>
              </w:rPr>
              <w:t>Ethics and Conflict of Interest</w:t>
            </w:r>
            <w:r w:rsidR="00C84C98">
              <w:rPr>
                <w:sz w:val="20"/>
                <w:szCs w:val="20"/>
              </w:rPr>
              <w:t xml:space="preserve"> in the Land Use Approval Process CM | 1.5 Law</w:t>
            </w:r>
          </w:p>
        </w:tc>
        <w:tc>
          <w:tcPr>
            <w:tcW w:w="1440" w:type="dxa"/>
          </w:tcPr>
          <w:p w:rsidR="00036F04" w:rsidRPr="0077006A" w:rsidRDefault="00A112E2" w:rsidP="001D4BC0">
            <w:pPr>
              <w:rPr>
                <w:sz w:val="20"/>
                <w:szCs w:val="20"/>
              </w:rPr>
            </w:pPr>
            <w:r>
              <w:rPr>
                <w:sz w:val="20"/>
                <w:szCs w:val="20"/>
              </w:rPr>
              <w:t>22</w:t>
            </w:r>
          </w:p>
        </w:tc>
        <w:tc>
          <w:tcPr>
            <w:tcW w:w="1615" w:type="dxa"/>
          </w:tcPr>
          <w:p w:rsidR="00036F04" w:rsidRPr="00C05A4B" w:rsidRDefault="00600BE2" w:rsidP="00600BE2">
            <w:pPr>
              <w:rPr>
                <w:sz w:val="20"/>
                <w:szCs w:val="20"/>
              </w:rPr>
            </w:pPr>
            <w:r w:rsidRPr="00C05A4B">
              <w:rPr>
                <w:rFonts w:cs="Arial"/>
                <w:color w:val="333333"/>
                <w:sz w:val="20"/>
                <w:szCs w:val="20"/>
                <w:shd w:val="clear" w:color="auto" w:fill="F9F9F9"/>
              </w:rPr>
              <w:t>2/1/2015</w:t>
            </w:r>
          </w:p>
        </w:tc>
      </w:tr>
      <w:tr w:rsidR="00036F04" w:rsidTr="005445B6">
        <w:tc>
          <w:tcPr>
            <w:tcW w:w="6295" w:type="dxa"/>
          </w:tcPr>
          <w:p w:rsidR="00036F04" w:rsidRPr="00ED15D7" w:rsidRDefault="00ED15D7" w:rsidP="001D4BC0">
            <w:pPr>
              <w:rPr>
                <w:sz w:val="20"/>
                <w:szCs w:val="20"/>
              </w:rPr>
            </w:pPr>
            <w:r w:rsidRPr="00ED15D7">
              <w:rPr>
                <w:sz w:val="20"/>
                <w:szCs w:val="20"/>
              </w:rPr>
              <w:t>Successful Strategies for Financing Infill Development</w:t>
            </w:r>
            <w:r w:rsidR="00C84C98">
              <w:rPr>
                <w:sz w:val="20"/>
                <w:szCs w:val="20"/>
              </w:rPr>
              <w:t xml:space="preserve"> CM | 1.5</w:t>
            </w:r>
          </w:p>
        </w:tc>
        <w:tc>
          <w:tcPr>
            <w:tcW w:w="1440" w:type="dxa"/>
          </w:tcPr>
          <w:p w:rsidR="00036F04" w:rsidRPr="0077006A" w:rsidRDefault="00A112E2" w:rsidP="001D4BC0">
            <w:pPr>
              <w:rPr>
                <w:sz w:val="20"/>
                <w:szCs w:val="20"/>
              </w:rPr>
            </w:pPr>
            <w:r>
              <w:rPr>
                <w:sz w:val="20"/>
                <w:szCs w:val="20"/>
              </w:rPr>
              <w:t>10</w:t>
            </w:r>
          </w:p>
        </w:tc>
        <w:tc>
          <w:tcPr>
            <w:tcW w:w="1615" w:type="dxa"/>
          </w:tcPr>
          <w:p w:rsidR="00036F04" w:rsidRPr="00C05A4B" w:rsidRDefault="00600BE2" w:rsidP="001D4BC0">
            <w:pPr>
              <w:rPr>
                <w:sz w:val="20"/>
                <w:szCs w:val="20"/>
              </w:rPr>
            </w:pPr>
            <w:r w:rsidRPr="00C05A4B">
              <w:rPr>
                <w:rFonts w:cs="Arial"/>
                <w:color w:val="333333"/>
                <w:sz w:val="20"/>
                <w:szCs w:val="20"/>
                <w:shd w:val="clear" w:color="auto" w:fill="F9F9F9"/>
              </w:rPr>
              <w:t>2/1/2015</w:t>
            </w:r>
          </w:p>
        </w:tc>
      </w:tr>
      <w:tr w:rsidR="005565D1" w:rsidTr="005445B6">
        <w:tc>
          <w:tcPr>
            <w:tcW w:w="9350" w:type="dxa"/>
            <w:gridSpan w:val="3"/>
            <w:shd w:val="clear" w:color="auto" w:fill="BDD6EE" w:themeFill="accent1" w:themeFillTint="66"/>
          </w:tcPr>
          <w:p w:rsidR="005565D1" w:rsidRPr="00600BE2" w:rsidRDefault="005565D1" w:rsidP="001D4BC0">
            <w:pPr>
              <w:rPr>
                <w:sz w:val="20"/>
                <w:szCs w:val="20"/>
              </w:rPr>
            </w:pPr>
            <w:r w:rsidRPr="00F43CA1">
              <w:rPr>
                <w:b/>
                <w:sz w:val="20"/>
                <w:szCs w:val="20"/>
              </w:rPr>
              <w:t>201</w:t>
            </w:r>
            <w:r>
              <w:rPr>
                <w:b/>
                <w:sz w:val="20"/>
                <w:szCs w:val="20"/>
              </w:rPr>
              <w:t>5</w:t>
            </w:r>
            <w:r w:rsidRPr="00F43CA1">
              <w:rPr>
                <w:b/>
                <w:sz w:val="20"/>
                <w:szCs w:val="20"/>
              </w:rPr>
              <w:t xml:space="preserve"> </w:t>
            </w:r>
            <w:r>
              <w:rPr>
                <w:b/>
                <w:sz w:val="20"/>
                <w:szCs w:val="20"/>
              </w:rPr>
              <w:t>Oakland</w:t>
            </w:r>
            <w:r w:rsidRPr="00F43CA1">
              <w:rPr>
                <w:b/>
                <w:sz w:val="20"/>
                <w:szCs w:val="20"/>
              </w:rPr>
              <w:t xml:space="preserve"> Conference</w:t>
            </w:r>
          </w:p>
        </w:tc>
      </w:tr>
      <w:tr w:rsidR="00ED15D7" w:rsidTr="005445B6">
        <w:tc>
          <w:tcPr>
            <w:tcW w:w="6295" w:type="dxa"/>
          </w:tcPr>
          <w:p w:rsidR="00ED15D7" w:rsidRPr="00ED15D7" w:rsidRDefault="00ED15D7" w:rsidP="001D4BC0">
            <w:pPr>
              <w:rPr>
                <w:sz w:val="20"/>
                <w:szCs w:val="20"/>
              </w:rPr>
            </w:pPr>
            <w:r w:rsidRPr="00ED15D7">
              <w:rPr>
                <w:sz w:val="20"/>
                <w:szCs w:val="20"/>
              </w:rPr>
              <w:t>APA California 2014 Legislative Update</w:t>
            </w:r>
            <w:r>
              <w:rPr>
                <w:sz w:val="20"/>
                <w:szCs w:val="20"/>
              </w:rPr>
              <w:t xml:space="preserve"> CM | 1.5 Law</w:t>
            </w:r>
          </w:p>
        </w:tc>
        <w:tc>
          <w:tcPr>
            <w:tcW w:w="1440" w:type="dxa"/>
          </w:tcPr>
          <w:p w:rsidR="00ED15D7" w:rsidRPr="0077006A" w:rsidRDefault="0077006A" w:rsidP="00A112E2">
            <w:pPr>
              <w:rPr>
                <w:sz w:val="20"/>
                <w:szCs w:val="20"/>
              </w:rPr>
            </w:pPr>
            <w:r w:rsidRPr="0077006A">
              <w:rPr>
                <w:sz w:val="20"/>
                <w:szCs w:val="20"/>
              </w:rPr>
              <w:t>2</w:t>
            </w:r>
            <w:r w:rsidR="00A112E2">
              <w:rPr>
                <w:sz w:val="20"/>
                <w:szCs w:val="20"/>
              </w:rPr>
              <w:t>9</w:t>
            </w:r>
          </w:p>
        </w:tc>
        <w:tc>
          <w:tcPr>
            <w:tcW w:w="1615" w:type="dxa"/>
          </w:tcPr>
          <w:p w:rsidR="00ED15D7" w:rsidRPr="00600BE2" w:rsidRDefault="00C05A4B" w:rsidP="001D4BC0">
            <w:pPr>
              <w:rPr>
                <w:sz w:val="20"/>
                <w:szCs w:val="20"/>
              </w:rPr>
            </w:pPr>
            <w:r>
              <w:rPr>
                <w:sz w:val="20"/>
                <w:szCs w:val="20"/>
              </w:rPr>
              <w:t>11/4/2015</w:t>
            </w:r>
          </w:p>
        </w:tc>
      </w:tr>
      <w:tr w:rsidR="00ED15D7" w:rsidTr="005445B6">
        <w:tc>
          <w:tcPr>
            <w:tcW w:w="6295" w:type="dxa"/>
          </w:tcPr>
          <w:p w:rsidR="00ED15D7" w:rsidRPr="00ED15D7" w:rsidRDefault="00ED15D7" w:rsidP="00ED15D7">
            <w:pPr>
              <w:rPr>
                <w:sz w:val="20"/>
                <w:szCs w:val="20"/>
              </w:rPr>
            </w:pPr>
            <w:r>
              <w:rPr>
                <w:sz w:val="20"/>
                <w:szCs w:val="20"/>
              </w:rPr>
              <w:t>Latino Urbanism CM | 1.0</w:t>
            </w:r>
          </w:p>
        </w:tc>
        <w:tc>
          <w:tcPr>
            <w:tcW w:w="1440" w:type="dxa"/>
          </w:tcPr>
          <w:p w:rsidR="00ED15D7" w:rsidRPr="0077006A" w:rsidRDefault="00A112E2" w:rsidP="001D4BC0">
            <w:pPr>
              <w:rPr>
                <w:sz w:val="20"/>
                <w:szCs w:val="20"/>
              </w:rPr>
            </w:pPr>
            <w:r>
              <w:rPr>
                <w:sz w:val="20"/>
                <w:szCs w:val="20"/>
              </w:rPr>
              <w:t>4</w:t>
            </w:r>
          </w:p>
        </w:tc>
        <w:tc>
          <w:tcPr>
            <w:tcW w:w="1615" w:type="dxa"/>
          </w:tcPr>
          <w:p w:rsidR="00ED15D7" w:rsidRPr="00600BE2" w:rsidRDefault="00C05A4B" w:rsidP="001D4BC0">
            <w:pPr>
              <w:rPr>
                <w:sz w:val="20"/>
                <w:szCs w:val="20"/>
              </w:rPr>
            </w:pPr>
            <w:r>
              <w:rPr>
                <w:sz w:val="20"/>
                <w:szCs w:val="20"/>
              </w:rPr>
              <w:t>11/6/2015</w:t>
            </w:r>
          </w:p>
        </w:tc>
      </w:tr>
      <w:tr w:rsidR="00ED15D7" w:rsidTr="005445B6">
        <w:tc>
          <w:tcPr>
            <w:tcW w:w="6295" w:type="dxa"/>
          </w:tcPr>
          <w:p w:rsidR="00ED15D7" w:rsidRPr="00ED15D7" w:rsidRDefault="00ED15D7" w:rsidP="00B770FA">
            <w:pPr>
              <w:rPr>
                <w:sz w:val="20"/>
                <w:szCs w:val="20"/>
              </w:rPr>
            </w:pPr>
            <w:r>
              <w:rPr>
                <w:sz w:val="20"/>
                <w:szCs w:val="20"/>
              </w:rPr>
              <w:t>Diversity Summit: Gentrification Mosaic CM | 1.5</w:t>
            </w:r>
          </w:p>
        </w:tc>
        <w:tc>
          <w:tcPr>
            <w:tcW w:w="1440" w:type="dxa"/>
          </w:tcPr>
          <w:p w:rsidR="00ED15D7" w:rsidRPr="0077006A" w:rsidRDefault="00ED15D7" w:rsidP="001D4BC0">
            <w:pPr>
              <w:rPr>
                <w:sz w:val="20"/>
                <w:szCs w:val="20"/>
              </w:rPr>
            </w:pPr>
          </w:p>
        </w:tc>
        <w:tc>
          <w:tcPr>
            <w:tcW w:w="1615" w:type="dxa"/>
          </w:tcPr>
          <w:p w:rsidR="00ED15D7" w:rsidRPr="00F9393E" w:rsidRDefault="00B770FA" w:rsidP="003A0260">
            <w:pPr>
              <w:rPr>
                <w:sz w:val="18"/>
                <w:szCs w:val="18"/>
              </w:rPr>
            </w:pPr>
            <w:r w:rsidRPr="00F9393E">
              <w:rPr>
                <w:sz w:val="18"/>
                <w:szCs w:val="18"/>
              </w:rPr>
              <w:t>Plan</w:t>
            </w:r>
            <w:r w:rsidR="003A0260" w:rsidRPr="00F9393E">
              <w:rPr>
                <w:sz w:val="18"/>
                <w:szCs w:val="18"/>
              </w:rPr>
              <w:t>n</w:t>
            </w:r>
            <w:r w:rsidRPr="00F9393E">
              <w:rPr>
                <w:sz w:val="18"/>
                <w:szCs w:val="18"/>
              </w:rPr>
              <w:t>ed</w:t>
            </w:r>
            <w:r w:rsidR="003A0260" w:rsidRPr="00F9393E">
              <w:rPr>
                <w:sz w:val="18"/>
                <w:szCs w:val="18"/>
              </w:rPr>
              <w:t xml:space="preserve"> </w:t>
            </w:r>
            <w:r w:rsidR="00C05A4B" w:rsidRPr="00F9393E">
              <w:rPr>
                <w:sz w:val="18"/>
                <w:szCs w:val="18"/>
              </w:rPr>
              <w:t xml:space="preserve">1/2016 </w:t>
            </w:r>
          </w:p>
        </w:tc>
      </w:tr>
      <w:tr w:rsidR="00C05A4B" w:rsidTr="005445B6">
        <w:tc>
          <w:tcPr>
            <w:tcW w:w="6295" w:type="dxa"/>
          </w:tcPr>
          <w:p w:rsidR="00C05A4B" w:rsidRDefault="00C05A4B" w:rsidP="00F8174B">
            <w:pPr>
              <w:rPr>
                <w:sz w:val="20"/>
                <w:szCs w:val="20"/>
              </w:rPr>
            </w:pPr>
            <w:r>
              <w:rPr>
                <w:sz w:val="20"/>
                <w:szCs w:val="20"/>
              </w:rPr>
              <w:t>Fixing Up Your Project: Strategies and Tools for Revising and Retooling Previously Approved Projects CM | 1.</w:t>
            </w:r>
            <w:r w:rsidR="00F8174B">
              <w:rPr>
                <w:sz w:val="20"/>
                <w:szCs w:val="20"/>
              </w:rPr>
              <w:t>25</w:t>
            </w:r>
            <w:r w:rsidR="003A0260">
              <w:rPr>
                <w:sz w:val="20"/>
                <w:szCs w:val="20"/>
              </w:rPr>
              <w:t xml:space="preserve"> Law</w:t>
            </w:r>
          </w:p>
        </w:tc>
        <w:tc>
          <w:tcPr>
            <w:tcW w:w="1440" w:type="dxa"/>
          </w:tcPr>
          <w:p w:rsidR="00C05A4B" w:rsidRPr="0077006A" w:rsidRDefault="00C05A4B" w:rsidP="00C05A4B">
            <w:pPr>
              <w:rPr>
                <w:sz w:val="20"/>
                <w:szCs w:val="20"/>
              </w:rPr>
            </w:pPr>
          </w:p>
        </w:tc>
        <w:tc>
          <w:tcPr>
            <w:tcW w:w="1615" w:type="dxa"/>
          </w:tcPr>
          <w:p w:rsidR="00C05A4B" w:rsidRPr="00F9393E" w:rsidRDefault="00B770FA" w:rsidP="00B770FA">
            <w:pPr>
              <w:rPr>
                <w:sz w:val="18"/>
                <w:szCs w:val="18"/>
              </w:rPr>
            </w:pPr>
            <w:r w:rsidRPr="00F9393E">
              <w:rPr>
                <w:sz w:val="18"/>
                <w:szCs w:val="18"/>
              </w:rPr>
              <w:t>Planned 1/2016</w:t>
            </w:r>
          </w:p>
        </w:tc>
      </w:tr>
      <w:tr w:rsidR="00C05A4B" w:rsidTr="005445B6">
        <w:tc>
          <w:tcPr>
            <w:tcW w:w="6295" w:type="dxa"/>
          </w:tcPr>
          <w:p w:rsidR="00C05A4B" w:rsidRDefault="00C05A4B" w:rsidP="00C05A4B">
            <w:pPr>
              <w:rPr>
                <w:sz w:val="20"/>
                <w:szCs w:val="20"/>
              </w:rPr>
            </w:pPr>
            <w:r>
              <w:rPr>
                <w:sz w:val="20"/>
                <w:szCs w:val="20"/>
              </w:rPr>
              <w:t>General Plan Update – Keeping It Real CM | 1.5</w:t>
            </w:r>
          </w:p>
        </w:tc>
        <w:tc>
          <w:tcPr>
            <w:tcW w:w="1440" w:type="dxa"/>
          </w:tcPr>
          <w:p w:rsidR="00C05A4B" w:rsidRPr="0077006A" w:rsidRDefault="00C05A4B" w:rsidP="00C05A4B">
            <w:pPr>
              <w:rPr>
                <w:sz w:val="20"/>
                <w:szCs w:val="20"/>
              </w:rPr>
            </w:pPr>
          </w:p>
        </w:tc>
        <w:tc>
          <w:tcPr>
            <w:tcW w:w="1615" w:type="dxa"/>
          </w:tcPr>
          <w:p w:rsidR="00C05A4B" w:rsidRPr="00F9393E" w:rsidRDefault="00C05A4B" w:rsidP="00C05A4B">
            <w:pPr>
              <w:rPr>
                <w:sz w:val="18"/>
                <w:szCs w:val="18"/>
              </w:rPr>
            </w:pPr>
            <w:r w:rsidRPr="00F9393E">
              <w:rPr>
                <w:sz w:val="18"/>
                <w:szCs w:val="18"/>
              </w:rPr>
              <w:t xml:space="preserve">Planned 1/2016 </w:t>
            </w:r>
          </w:p>
        </w:tc>
      </w:tr>
      <w:tr w:rsidR="00C05A4B" w:rsidTr="005445B6">
        <w:tc>
          <w:tcPr>
            <w:tcW w:w="6295" w:type="dxa"/>
          </w:tcPr>
          <w:p w:rsidR="00C05A4B" w:rsidRDefault="00C05A4B" w:rsidP="00C05A4B">
            <w:pPr>
              <w:rPr>
                <w:sz w:val="20"/>
                <w:szCs w:val="20"/>
              </w:rPr>
            </w:pPr>
            <w:r>
              <w:rPr>
                <w:sz w:val="20"/>
                <w:szCs w:val="20"/>
              </w:rPr>
              <w:lastRenderedPageBreak/>
              <w:t>Manifest Density: A Reality Check for the Sustainable Communities Strategy CM | 1.5</w:t>
            </w:r>
          </w:p>
        </w:tc>
        <w:tc>
          <w:tcPr>
            <w:tcW w:w="1440" w:type="dxa"/>
          </w:tcPr>
          <w:p w:rsidR="00C05A4B" w:rsidRPr="0077006A" w:rsidRDefault="00C05A4B" w:rsidP="00C05A4B">
            <w:pPr>
              <w:rPr>
                <w:sz w:val="20"/>
                <w:szCs w:val="20"/>
              </w:rPr>
            </w:pPr>
          </w:p>
        </w:tc>
        <w:tc>
          <w:tcPr>
            <w:tcW w:w="1615" w:type="dxa"/>
          </w:tcPr>
          <w:p w:rsidR="00C05A4B" w:rsidRPr="00F9393E" w:rsidRDefault="00C05A4B" w:rsidP="00C05A4B">
            <w:pPr>
              <w:rPr>
                <w:sz w:val="18"/>
                <w:szCs w:val="18"/>
              </w:rPr>
            </w:pPr>
            <w:r w:rsidRPr="00F9393E">
              <w:rPr>
                <w:sz w:val="18"/>
                <w:szCs w:val="18"/>
              </w:rPr>
              <w:t xml:space="preserve">Planned 1/2016 </w:t>
            </w:r>
          </w:p>
        </w:tc>
      </w:tr>
      <w:tr w:rsidR="00C05A4B" w:rsidTr="005445B6">
        <w:tc>
          <w:tcPr>
            <w:tcW w:w="6295" w:type="dxa"/>
          </w:tcPr>
          <w:p w:rsidR="00C05A4B" w:rsidRDefault="00C05A4B" w:rsidP="00C05A4B">
            <w:pPr>
              <w:rPr>
                <w:sz w:val="20"/>
                <w:szCs w:val="20"/>
              </w:rPr>
            </w:pPr>
            <w:r>
              <w:rPr>
                <w:sz w:val="20"/>
                <w:szCs w:val="20"/>
              </w:rPr>
              <w:t>Parking and Driverless Vehicle Innovations CM | 1.5</w:t>
            </w:r>
          </w:p>
        </w:tc>
        <w:tc>
          <w:tcPr>
            <w:tcW w:w="1440" w:type="dxa"/>
          </w:tcPr>
          <w:p w:rsidR="00C05A4B" w:rsidRPr="0077006A" w:rsidRDefault="00C05A4B" w:rsidP="00C05A4B">
            <w:pPr>
              <w:rPr>
                <w:sz w:val="20"/>
                <w:szCs w:val="20"/>
              </w:rPr>
            </w:pPr>
          </w:p>
        </w:tc>
        <w:tc>
          <w:tcPr>
            <w:tcW w:w="1615" w:type="dxa"/>
          </w:tcPr>
          <w:p w:rsidR="00C05A4B" w:rsidRPr="00F9393E" w:rsidRDefault="00C05A4B" w:rsidP="00C05A4B">
            <w:pPr>
              <w:rPr>
                <w:sz w:val="18"/>
                <w:szCs w:val="18"/>
              </w:rPr>
            </w:pPr>
            <w:r w:rsidRPr="00F9393E">
              <w:rPr>
                <w:sz w:val="18"/>
                <w:szCs w:val="18"/>
              </w:rPr>
              <w:t xml:space="preserve">Planned 1/2016 </w:t>
            </w:r>
          </w:p>
        </w:tc>
      </w:tr>
      <w:tr w:rsidR="00ED15D7" w:rsidTr="005445B6">
        <w:tc>
          <w:tcPr>
            <w:tcW w:w="6295" w:type="dxa"/>
          </w:tcPr>
          <w:p w:rsidR="00ED15D7" w:rsidRPr="00DB689E" w:rsidRDefault="00DB689E" w:rsidP="00DB689E">
            <w:pPr>
              <w:jc w:val="right"/>
              <w:rPr>
                <w:b/>
                <w:sz w:val="20"/>
                <w:szCs w:val="20"/>
              </w:rPr>
            </w:pPr>
            <w:r w:rsidRPr="00DB689E">
              <w:rPr>
                <w:b/>
                <w:sz w:val="20"/>
                <w:szCs w:val="20"/>
              </w:rPr>
              <w:t>Total</w:t>
            </w:r>
          </w:p>
        </w:tc>
        <w:tc>
          <w:tcPr>
            <w:tcW w:w="1440" w:type="dxa"/>
          </w:tcPr>
          <w:p w:rsidR="00ED15D7" w:rsidRPr="0077006A" w:rsidRDefault="0077006A" w:rsidP="00627FAF">
            <w:pPr>
              <w:rPr>
                <w:b/>
              </w:rPr>
            </w:pPr>
            <w:r w:rsidRPr="0077006A">
              <w:rPr>
                <w:b/>
              </w:rPr>
              <w:t>1</w:t>
            </w:r>
            <w:r w:rsidR="00627FAF">
              <w:rPr>
                <w:b/>
              </w:rPr>
              <w:t>29</w:t>
            </w:r>
          </w:p>
        </w:tc>
        <w:tc>
          <w:tcPr>
            <w:tcW w:w="1615" w:type="dxa"/>
          </w:tcPr>
          <w:p w:rsidR="00ED15D7" w:rsidRPr="00600BE2" w:rsidRDefault="00ED15D7" w:rsidP="001D4BC0">
            <w:pPr>
              <w:rPr>
                <w:sz w:val="20"/>
                <w:szCs w:val="20"/>
              </w:rPr>
            </w:pPr>
          </w:p>
        </w:tc>
      </w:tr>
    </w:tbl>
    <w:p w:rsidR="00922E59" w:rsidRPr="00223291" w:rsidRDefault="00922E59" w:rsidP="001D4BC0">
      <w:pPr>
        <w:rPr>
          <w:b/>
          <w:u w:val="single"/>
        </w:rPr>
      </w:pPr>
    </w:p>
    <w:p w:rsidR="00922E59" w:rsidRDefault="00306EEA" w:rsidP="001D4BC0">
      <w:r>
        <w:t>Eight</w:t>
      </w:r>
      <w:r w:rsidR="00922E59">
        <w:t xml:space="preserve"> distance education </w:t>
      </w:r>
      <w:r w:rsidR="006540F0">
        <w:t>videos</w:t>
      </w:r>
      <w:r w:rsidR="00922E59">
        <w:t xml:space="preserve"> were released in </w:t>
      </w:r>
      <w:r>
        <w:t>2014-</w:t>
      </w:r>
      <w:r w:rsidR="00922E59">
        <w:t xml:space="preserve">2015. Five additional </w:t>
      </w:r>
      <w:r w:rsidR="006540F0">
        <w:t>videos</w:t>
      </w:r>
      <w:r w:rsidR="00922E59">
        <w:t xml:space="preserve"> are planned for release in January 2016. </w:t>
      </w:r>
      <w:r w:rsidR="005445B6">
        <w:t xml:space="preserve">As of </w:t>
      </w:r>
      <w:r w:rsidR="00E562B4">
        <w:t>Decem</w:t>
      </w:r>
      <w:r w:rsidR="005445B6">
        <w:t xml:space="preserve">ber </w:t>
      </w:r>
      <w:r w:rsidR="00E562B4">
        <w:t>17</w:t>
      </w:r>
      <w:r w:rsidR="005445B6">
        <w:t xml:space="preserve">, 2015, </w:t>
      </w:r>
      <w:r>
        <w:t xml:space="preserve">the Chapter had received </w:t>
      </w:r>
      <w:r w:rsidR="00627FAF">
        <w:t>129</w:t>
      </w:r>
      <w:r w:rsidR="00922E59">
        <w:t xml:space="preserve"> registrations for distance education viewing. </w:t>
      </w:r>
    </w:p>
    <w:p w:rsidR="00665B6E" w:rsidRDefault="00627FAF" w:rsidP="001D4BC0">
      <w:r>
        <w:t>Ninety</w:t>
      </w:r>
      <w:r w:rsidR="00581EF4">
        <w:t>-</w:t>
      </w:r>
      <w:r>
        <w:t>six</w:t>
      </w:r>
      <w:r w:rsidR="00665B6E">
        <w:t xml:space="preserve"> registrations </w:t>
      </w:r>
      <w:r w:rsidR="00712E5E">
        <w:t xml:space="preserve">were received </w:t>
      </w:r>
      <w:r w:rsidR="00665B6E">
        <w:t xml:space="preserve">for </w:t>
      </w:r>
      <w:r w:rsidR="00712E5E">
        <w:t xml:space="preserve">the </w:t>
      </w:r>
      <w:r w:rsidR="006540F0">
        <w:t xml:space="preserve">six </w:t>
      </w:r>
      <w:r w:rsidR="00665B6E">
        <w:t xml:space="preserve">2014 </w:t>
      </w:r>
      <w:r w:rsidR="006A0FCA">
        <w:t>C</w:t>
      </w:r>
      <w:r w:rsidR="00665B6E">
        <w:t>onference videos</w:t>
      </w:r>
      <w:r w:rsidR="00712E5E">
        <w:t xml:space="preserve">. Of these, </w:t>
      </w:r>
      <w:r w:rsidR="009734E8">
        <w:t>57</w:t>
      </w:r>
      <w:r w:rsidR="00922E59">
        <w:t>%</w:t>
      </w:r>
      <w:r w:rsidR="00581EF4">
        <w:t xml:space="preserve"> (</w:t>
      </w:r>
      <w:r w:rsidR="009734E8">
        <w:t>55</w:t>
      </w:r>
      <w:r w:rsidR="00665B6E">
        <w:t xml:space="preserve">) were made during the last quarter of 2015. </w:t>
      </w:r>
      <w:r w:rsidR="006540F0">
        <w:t xml:space="preserve">The </w:t>
      </w:r>
      <w:r w:rsidR="00E96AF6">
        <w:t>renewed interest in the 2014 Conference videos</w:t>
      </w:r>
      <w:r w:rsidR="006540F0">
        <w:t xml:space="preserve"> is </w:t>
      </w:r>
      <w:r w:rsidR="00E96AF6">
        <w:t>likely due to</w:t>
      </w:r>
      <w:r w:rsidR="006540F0">
        <w:t xml:space="preserve"> Chapter announcements </w:t>
      </w:r>
      <w:r w:rsidR="00943592">
        <w:t xml:space="preserve">for the </w:t>
      </w:r>
      <w:r w:rsidR="003D409D">
        <w:t xml:space="preserve">2015 </w:t>
      </w:r>
      <w:r w:rsidR="00E96AF6">
        <w:t xml:space="preserve">Conference </w:t>
      </w:r>
      <w:r w:rsidR="003D409D">
        <w:t xml:space="preserve">videos </w:t>
      </w:r>
      <w:r w:rsidR="00FE68D8">
        <w:t xml:space="preserve">in November </w:t>
      </w:r>
      <w:r w:rsidR="00F03E6A">
        <w:t xml:space="preserve">2015 </w:t>
      </w:r>
      <w:r w:rsidR="006540F0">
        <w:t>and the</w:t>
      </w:r>
      <w:r w:rsidR="00665B6E">
        <w:t xml:space="preserve"> approaching year end CM credit reporting deadline. </w:t>
      </w:r>
    </w:p>
    <w:p w:rsidR="006A0FCA" w:rsidRDefault="006540F0" w:rsidP="001D4BC0">
      <w:r>
        <w:t>The</w:t>
      </w:r>
      <w:r w:rsidR="006A0FCA">
        <w:t xml:space="preserve"> </w:t>
      </w:r>
      <w:r w:rsidR="006A0FCA" w:rsidRPr="00F8174B">
        <w:rPr>
          <w:i/>
        </w:rPr>
        <w:t>Latino Urbanism</w:t>
      </w:r>
      <w:r w:rsidR="006A0FCA">
        <w:t xml:space="preserve"> </w:t>
      </w:r>
      <w:r w:rsidR="00485FDF">
        <w:t xml:space="preserve">session </w:t>
      </w:r>
      <w:r w:rsidR="006A0FCA">
        <w:t xml:space="preserve">video from the 2015 Conference </w:t>
      </w:r>
      <w:r>
        <w:t xml:space="preserve">was </w:t>
      </w:r>
      <w:r w:rsidR="006A0FCA">
        <w:t>offered for immediate (1-click</w:t>
      </w:r>
      <w:r w:rsidR="00485FDF">
        <w:t>)</w:t>
      </w:r>
      <w:r w:rsidR="006A0FCA">
        <w:t xml:space="preserve"> viewing at no cost. </w:t>
      </w:r>
      <w:r w:rsidR="00F8174B">
        <w:t xml:space="preserve">All other videos require registration and payment before viewing. </w:t>
      </w:r>
      <w:r w:rsidR="00485FDF">
        <w:t xml:space="preserve">As of </w:t>
      </w:r>
      <w:r w:rsidR="00581EF4">
        <w:t>December</w:t>
      </w:r>
      <w:r w:rsidR="00485FDF">
        <w:t xml:space="preserve"> </w:t>
      </w:r>
      <w:r w:rsidR="00581EF4">
        <w:t>17</w:t>
      </w:r>
      <w:r w:rsidR="00485FDF">
        <w:t>, 2015</w:t>
      </w:r>
      <w:r w:rsidR="006A0FCA">
        <w:t xml:space="preserve"> the </w:t>
      </w:r>
      <w:r w:rsidR="006A0FCA" w:rsidRPr="00F8174B">
        <w:rPr>
          <w:i/>
        </w:rPr>
        <w:t>Latino Urbanism</w:t>
      </w:r>
      <w:r w:rsidR="006A0FCA">
        <w:t xml:space="preserve"> video ha</w:t>
      </w:r>
      <w:r w:rsidR="00485FDF">
        <w:t>d</w:t>
      </w:r>
      <w:r w:rsidR="006A0FCA">
        <w:t xml:space="preserve"> received the highest number of </w:t>
      </w:r>
      <w:proofErr w:type="spellStart"/>
      <w:r w:rsidR="006A0FCA">
        <w:t>Youtube</w:t>
      </w:r>
      <w:proofErr w:type="spellEnd"/>
      <w:r w:rsidR="006A0FCA">
        <w:t xml:space="preserve"> views </w:t>
      </w:r>
      <w:r w:rsidR="00E96AF6">
        <w:t xml:space="preserve">(not registrations) </w:t>
      </w:r>
      <w:r w:rsidR="006A0FCA">
        <w:t>of any session video offered (1</w:t>
      </w:r>
      <w:r w:rsidR="009734E8">
        <w:t>22</w:t>
      </w:r>
      <w:r w:rsidR="006A0FCA">
        <w:t>)</w:t>
      </w:r>
      <w:r w:rsidR="00776A2D">
        <w:t xml:space="preserve">. </w:t>
      </w:r>
      <w:r w:rsidR="00485FDF">
        <w:t xml:space="preserve">The next highest number of </w:t>
      </w:r>
      <w:proofErr w:type="spellStart"/>
      <w:r w:rsidR="008E720D">
        <w:t>Youtube</w:t>
      </w:r>
      <w:proofErr w:type="spellEnd"/>
      <w:r w:rsidR="008E720D">
        <w:t xml:space="preserve"> </w:t>
      </w:r>
      <w:r w:rsidR="00485FDF">
        <w:t xml:space="preserve">views was for the </w:t>
      </w:r>
      <w:r w:rsidR="00485FDF" w:rsidRPr="00F8174B">
        <w:rPr>
          <w:i/>
        </w:rPr>
        <w:t>2015 Legislative Update</w:t>
      </w:r>
      <w:r w:rsidR="00485FDF">
        <w:t xml:space="preserve"> session </w:t>
      </w:r>
      <w:r w:rsidR="00F03E6A">
        <w:t>(</w:t>
      </w:r>
      <w:r w:rsidR="009734E8">
        <w:t>50</w:t>
      </w:r>
      <w:r w:rsidR="00F03E6A">
        <w:t>)</w:t>
      </w:r>
      <w:r w:rsidR="00485FDF">
        <w:t xml:space="preserve">. </w:t>
      </w:r>
    </w:p>
    <w:p w:rsidR="00C05A4B" w:rsidRPr="00223291" w:rsidRDefault="006A0FCA" w:rsidP="001D4BC0">
      <w:pPr>
        <w:rPr>
          <w:u w:val="single"/>
        </w:rPr>
      </w:pPr>
      <w:r w:rsidRPr="00223291">
        <w:rPr>
          <w:u w:val="single"/>
        </w:rPr>
        <w:t>Marketing</w:t>
      </w:r>
      <w:r w:rsidR="00BC59B7" w:rsidRPr="00223291">
        <w:rPr>
          <w:u w:val="single"/>
        </w:rPr>
        <w:t xml:space="preserve"> Recommendations </w:t>
      </w:r>
    </w:p>
    <w:p w:rsidR="00D71316" w:rsidRDefault="008E720D" w:rsidP="001D4BC0">
      <w:r>
        <w:t>Based on experience gained</w:t>
      </w:r>
      <w:r w:rsidR="00C14114">
        <w:t>,</w:t>
      </w:r>
      <w:r>
        <w:t xml:space="preserve"> t</w:t>
      </w:r>
      <w:r w:rsidR="004463B5">
        <w:t>he</w:t>
      </w:r>
      <w:r w:rsidR="00D71316">
        <w:t xml:space="preserve"> following recommendations are offered </w:t>
      </w:r>
      <w:r w:rsidR="00C14114">
        <w:t>to improve marketing of distance education products</w:t>
      </w:r>
      <w:r w:rsidR="00D71316">
        <w:t>:</w:t>
      </w:r>
    </w:p>
    <w:p w:rsidR="00D71316" w:rsidRDefault="00D71316" w:rsidP="00BC59B7">
      <w:pPr>
        <w:pStyle w:val="ListParagraph"/>
        <w:numPr>
          <w:ilvl w:val="0"/>
          <w:numId w:val="4"/>
        </w:numPr>
      </w:pPr>
      <w:r>
        <w:t>Create a more attractive and recognizable email format for Chapter announcements.</w:t>
      </w:r>
    </w:p>
    <w:p w:rsidR="00A46CF7" w:rsidRDefault="00D71316" w:rsidP="00BC59B7">
      <w:pPr>
        <w:pStyle w:val="ListParagraph"/>
        <w:numPr>
          <w:ilvl w:val="0"/>
          <w:numId w:val="4"/>
        </w:numPr>
      </w:pPr>
      <w:r>
        <w:t>Increase the frequency of Chapter announcements.</w:t>
      </w:r>
    </w:p>
    <w:p w:rsidR="00D71316" w:rsidRDefault="00C14114" w:rsidP="00BC59B7">
      <w:pPr>
        <w:pStyle w:val="ListParagraph"/>
        <w:numPr>
          <w:ilvl w:val="0"/>
          <w:numId w:val="4"/>
        </w:numPr>
      </w:pPr>
      <w:r>
        <w:t>Offer on-demand free</w:t>
      </w:r>
      <w:r w:rsidR="00E96AF6">
        <w:t xml:space="preserve"> previews</w:t>
      </w:r>
      <w:r w:rsidR="00D71316">
        <w:t xml:space="preserve"> </w:t>
      </w:r>
      <w:r w:rsidR="008E720D">
        <w:t xml:space="preserve">of </w:t>
      </w:r>
      <w:r>
        <w:t>all videos</w:t>
      </w:r>
      <w:r w:rsidR="00D71316">
        <w:t xml:space="preserve"> so members </w:t>
      </w:r>
      <w:r w:rsidR="00BC59B7">
        <w:t>can</w:t>
      </w:r>
      <w:r w:rsidR="00D71316">
        <w:t xml:space="preserve"> see what is being offered before registering and paying.</w:t>
      </w:r>
      <w:r w:rsidR="00BC59B7">
        <w:t xml:space="preserve"> </w:t>
      </w:r>
    </w:p>
    <w:p w:rsidR="00D71316" w:rsidRDefault="00D71316" w:rsidP="00BC59B7">
      <w:pPr>
        <w:pStyle w:val="ListParagraph"/>
        <w:numPr>
          <w:ilvl w:val="0"/>
          <w:numId w:val="4"/>
        </w:numPr>
      </w:pPr>
      <w:r>
        <w:t>Market to everyone</w:t>
      </w:r>
      <w:r w:rsidR="0069591F">
        <w:t xml:space="preserve"> on the Chapter e-mail list</w:t>
      </w:r>
      <w:r>
        <w:t>, not just</w:t>
      </w:r>
      <w:r w:rsidR="004463B5">
        <w:t xml:space="preserve"> </w:t>
      </w:r>
      <w:r>
        <w:t>AICP members.</w:t>
      </w:r>
      <w:r w:rsidR="00BC59B7">
        <w:t xml:space="preserve"> </w:t>
      </w:r>
    </w:p>
    <w:p w:rsidR="00D71316" w:rsidRDefault="0069591F" w:rsidP="00BC59B7">
      <w:pPr>
        <w:pStyle w:val="ListParagraph"/>
        <w:numPr>
          <w:ilvl w:val="0"/>
          <w:numId w:val="4"/>
        </w:numPr>
      </w:pPr>
      <w:r>
        <w:t>Encourage</w:t>
      </w:r>
      <w:r w:rsidR="00D71316">
        <w:t xml:space="preserve"> Sections to </w:t>
      </w:r>
      <w:r w:rsidR="00C14114">
        <w:t>announce</w:t>
      </w:r>
      <w:r w:rsidR="00D71316">
        <w:t xml:space="preserve"> the availability of the videos in </w:t>
      </w:r>
      <w:r w:rsidR="00BC59B7">
        <w:t xml:space="preserve">at least one email blast per quarter. The announcement should be provided by the Chapter ready to be inserted into the Section email blasts. </w:t>
      </w:r>
    </w:p>
    <w:p w:rsidR="00D71316" w:rsidRDefault="00BC59B7" w:rsidP="00BC59B7">
      <w:pPr>
        <w:pStyle w:val="ListParagraph"/>
        <w:numPr>
          <w:ilvl w:val="0"/>
          <w:numId w:val="4"/>
        </w:numPr>
      </w:pPr>
      <w:r>
        <w:t>Use promotional offers such as discount codes</w:t>
      </w:r>
      <w:r w:rsidR="009B778E">
        <w:t xml:space="preserve"> and free viewings </w:t>
      </w:r>
      <w:r>
        <w:t xml:space="preserve">to familiarize members with distance education products. </w:t>
      </w:r>
    </w:p>
    <w:p w:rsidR="00A46CF7" w:rsidRPr="004463B5" w:rsidRDefault="00A01191" w:rsidP="001D4BC0">
      <w:pPr>
        <w:rPr>
          <w:u w:val="single"/>
        </w:rPr>
      </w:pPr>
      <w:r>
        <w:rPr>
          <w:u w:val="single"/>
        </w:rPr>
        <w:t xml:space="preserve">2014 </w:t>
      </w:r>
      <w:r w:rsidR="00BC59B7" w:rsidRPr="004463B5">
        <w:rPr>
          <w:u w:val="single"/>
        </w:rPr>
        <w:t xml:space="preserve">Recording </w:t>
      </w:r>
      <w:r w:rsidR="00223291">
        <w:rPr>
          <w:u w:val="single"/>
        </w:rPr>
        <w:t>Experience</w:t>
      </w:r>
    </w:p>
    <w:p w:rsidR="00A01191" w:rsidRDefault="00B07E8C" w:rsidP="001D4BC0">
      <w:r>
        <w:t>An initial</w:t>
      </w:r>
      <w:r w:rsidR="00EC43BA">
        <w:t xml:space="preserve"> goal of the </w:t>
      </w:r>
      <w:r w:rsidR="00C14114">
        <w:t xml:space="preserve">Chapter </w:t>
      </w:r>
      <w:r>
        <w:t xml:space="preserve">distance education </w:t>
      </w:r>
      <w:r w:rsidR="00EC43BA">
        <w:t xml:space="preserve">program was to utilize </w:t>
      </w:r>
      <w:r w:rsidR="009972EF">
        <w:t>a</w:t>
      </w:r>
      <w:r w:rsidR="00EC43BA">
        <w:t xml:space="preserve"> webinar service for </w:t>
      </w:r>
      <w:r w:rsidR="009972EF">
        <w:t xml:space="preserve">both </w:t>
      </w:r>
      <w:r w:rsidR="00EC43BA">
        <w:t xml:space="preserve">live webinars and </w:t>
      </w:r>
      <w:r w:rsidR="00F8174B">
        <w:t>conference</w:t>
      </w:r>
      <w:r w:rsidR="00EC43BA">
        <w:t xml:space="preserve"> recordings. </w:t>
      </w:r>
      <w:r w:rsidR="00944765">
        <w:t>A</w:t>
      </w:r>
      <w:r w:rsidR="00783AD0">
        <w:t xml:space="preserve"> w</w:t>
      </w:r>
      <w:r w:rsidR="009B778E">
        <w:t>ebinar service</w:t>
      </w:r>
      <w:r>
        <w:t xml:space="preserve"> </w:t>
      </w:r>
      <w:r w:rsidR="00944765">
        <w:t>was used for</w:t>
      </w:r>
      <w:r w:rsidR="00783AD0">
        <w:t xml:space="preserve"> </w:t>
      </w:r>
      <w:r w:rsidR="00944765">
        <w:t xml:space="preserve">the </w:t>
      </w:r>
      <w:r w:rsidR="00783AD0">
        <w:t>2014 conference recordings</w:t>
      </w:r>
      <w:r w:rsidR="001A5F73">
        <w:t xml:space="preserve"> </w:t>
      </w:r>
      <w:r w:rsidR="00944765">
        <w:t xml:space="preserve">but due to technical problems </w:t>
      </w:r>
      <w:r w:rsidR="00A01191">
        <w:t>the files produced were</w:t>
      </w:r>
      <w:r w:rsidR="00944765">
        <w:t xml:space="preserve"> not playable</w:t>
      </w:r>
      <w:r w:rsidR="001A5F73">
        <w:t xml:space="preserve">. </w:t>
      </w:r>
      <w:r w:rsidR="00783AD0">
        <w:t xml:space="preserve">Fortunately, audio recordings were salvaged from the recorded webinar files and these were combined with PowerPoint slides to make playable videos. </w:t>
      </w:r>
      <w:r w:rsidR="00F7073B">
        <w:t xml:space="preserve">It should be noted that </w:t>
      </w:r>
      <w:r w:rsidR="00703CA5" w:rsidRPr="003238B6">
        <w:t>Chapter sponsored webinars have been successful</w:t>
      </w:r>
      <w:r w:rsidR="001A5F73" w:rsidRPr="003238B6">
        <w:t xml:space="preserve"> where</w:t>
      </w:r>
      <w:r w:rsidR="00703CA5" w:rsidRPr="003238B6">
        <w:t xml:space="preserve"> </w:t>
      </w:r>
      <w:r w:rsidR="001A5F73" w:rsidRPr="003238B6">
        <w:t>corporate sponsors have allowed sharing of existing</w:t>
      </w:r>
      <w:r w:rsidR="00703CA5" w:rsidRPr="003238B6">
        <w:t xml:space="preserve"> </w:t>
      </w:r>
      <w:r w:rsidR="001A5F73" w:rsidRPr="003238B6">
        <w:t xml:space="preserve">webinar </w:t>
      </w:r>
      <w:r w:rsidR="00703CA5" w:rsidRPr="003238B6">
        <w:t>service accounts and technical support</w:t>
      </w:r>
      <w:r w:rsidR="001A5F73" w:rsidRPr="003238B6">
        <w:t>.</w:t>
      </w:r>
      <w:r w:rsidR="00703CA5" w:rsidRPr="003238B6">
        <w:t xml:space="preserve"> </w:t>
      </w:r>
    </w:p>
    <w:p w:rsidR="00A01191" w:rsidRDefault="00A01191" w:rsidP="001D4BC0">
      <w:pPr>
        <w:rPr>
          <w:u w:val="single"/>
        </w:rPr>
      </w:pPr>
      <w:r w:rsidRPr="00A01191">
        <w:rPr>
          <w:u w:val="single"/>
        </w:rPr>
        <w:t>2015 Recording Experience</w:t>
      </w:r>
    </w:p>
    <w:p w:rsidR="00A01191" w:rsidRDefault="00581EF4" w:rsidP="001D4BC0">
      <w:r>
        <w:lastRenderedPageBreak/>
        <w:t>A</w:t>
      </w:r>
      <w:r w:rsidR="00F7073B">
        <w:t xml:space="preserve"> laptop equipped with </w:t>
      </w:r>
      <w:r>
        <w:t>screen capture</w:t>
      </w:r>
      <w:r w:rsidR="00F7073B">
        <w:t xml:space="preserve"> software </w:t>
      </w:r>
      <w:r w:rsidR="00B85943">
        <w:t>w</w:t>
      </w:r>
      <w:r w:rsidR="00F7073B">
        <w:t xml:space="preserve">as used to </w:t>
      </w:r>
      <w:r w:rsidR="00A01191">
        <w:t>record</w:t>
      </w:r>
      <w:r w:rsidR="00F7073B">
        <w:t xml:space="preserve"> both audio and video. Video was </w:t>
      </w:r>
      <w:r>
        <w:t>added</w:t>
      </w:r>
      <w:r w:rsidR="00F7073B">
        <w:t xml:space="preserve"> using two USB cameras. The system is capable of integrating PowerPoint slides but </w:t>
      </w:r>
      <w:r>
        <w:t>the</w:t>
      </w:r>
      <w:r w:rsidR="00F7073B">
        <w:t xml:space="preserve"> </w:t>
      </w:r>
      <w:r w:rsidR="00B85943">
        <w:t>require</w:t>
      </w:r>
      <w:r>
        <w:t>d</w:t>
      </w:r>
      <w:r w:rsidR="00B85943">
        <w:t xml:space="preserve"> HDMI compatible </w:t>
      </w:r>
      <w:r>
        <w:t xml:space="preserve">projection </w:t>
      </w:r>
      <w:r w:rsidR="00B85943">
        <w:t xml:space="preserve">equipment </w:t>
      </w:r>
      <w:r>
        <w:t>was</w:t>
      </w:r>
      <w:r w:rsidR="00B85943">
        <w:t xml:space="preserve"> not available in the recording room</w:t>
      </w:r>
      <w:r w:rsidR="00F7073B">
        <w:t xml:space="preserve">. </w:t>
      </w:r>
      <w:r w:rsidR="00B85943">
        <w:t xml:space="preserve">PowerPoint slides were added later in post-production. Overall, the recording went smoothly albeit with </w:t>
      </w:r>
      <w:r w:rsidR="003238B6">
        <w:t>ample</w:t>
      </w:r>
      <w:r w:rsidR="00B85943">
        <w:t xml:space="preserve"> room for improvement.</w:t>
      </w:r>
      <w:r w:rsidR="003238B6">
        <w:t xml:space="preserve"> All 2015 recordings have been edited and uploaded to unlisted </w:t>
      </w:r>
      <w:proofErr w:type="spellStart"/>
      <w:r w:rsidR="003238B6">
        <w:t>Youtube</w:t>
      </w:r>
      <w:proofErr w:type="spellEnd"/>
      <w:r w:rsidR="003238B6">
        <w:t xml:space="preserve"> addresses. </w:t>
      </w:r>
    </w:p>
    <w:p w:rsidR="00A01191" w:rsidRDefault="00A01191" w:rsidP="00A01191">
      <w:r>
        <w:t xml:space="preserve">Looking ahead, the same recording technology </w:t>
      </w:r>
      <w:r w:rsidR="003238B6">
        <w:t>used for the 2015 conference</w:t>
      </w:r>
      <w:r>
        <w:t xml:space="preserve"> will permit video streaming of live events. With additional recording experience, the Chapter may want to experiment with livestream broadcasting. A livestream broadcast has the potential to replace the webinar format, offering higher quality at a much lower cost. </w:t>
      </w:r>
    </w:p>
    <w:p w:rsidR="00A01191" w:rsidRDefault="00581EF4" w:rsidP="003238B6">
      <w:r>
        <w:t>L</w:t>
      </w:r>
      <w:r w:rsidR="003238B6">
        <w:t>essons learned:</w:t>
      </w:r>
    </w:p>
    <w:p w:rsidR="002A1D98" w:rsidRDefault="00F543E6" w:rsidP="00A83A0E">
      <w:pPr>
        <w:pStyle w:val="ListParagraph"/>
        <w:numPr>
          <w:ilvl w:val="0"/>
          <w:numId w:val="2"/>
        </w:numPr>
        <w:ind w:left="720"/>
      </w:pPr>
      <w:r>
        <w:t xml:space="preserve">The computer industry is in the process of moving from VGA (analog) video output to HDMI (digital) video output. Newer laptops use HDMI while older laptops use VGA. For future conferences, </w:t>
      </w:r>
      <w:r w:rsidR="003238B6">
        <w:t xml:space="preserve">an </w:t>
      </w:r>
      <w:r>
        <w:t xml:space="preserve">HDMI capable laptop and HDMI projector </w:t>
      </w:r>
      <w:r w:rsidR="003238B6">
        <w:t xml:space="preserve">needs to be available </w:t>
      </w:r>
      <w:r>
        <w:t xml:space="preserve">in any room where recording is to be done. </w:t>
      </w:r>
      <w:r w:rsidR="0018190D">
        <w:t xml:space="preserve">Moving to HDMI will allow the PowerPoint slides to be fed </w:t>
      </w:r>
      <w:r w:rsidR="003238B6">
        <w:t xml:space="preserve">directly </w:t>
      </w:r>
      <w:r w:rsidR="0018190D">
        <w:t>into the video, greatly reducing the need for post-production editing.</w:t>
      </w:r>
    </w:p>
    <w:p w:rsidR="00840690" w:rsidRDefault="00BE7748" w:rsidP="00A83A0E">
      <w:pPr>
        <w:pStyle w:val="ListParagraph"/>
        <w:numPr>
          <w:ilvl w:val="0"/>
          <w:numId w:val="2"/>
        </w:numPr>
        <w:ind w:left="720"/>
      </w:pPr>
      <w:r>
        <w:t>AV personal must be available and able to respond quickly</w:t>
      </w:r>
      <w:r w:rsidR="00F31921">
        <w:t>--</w:t>
      </w:r>
      <w:r>
        <w:t>at any time</w:t>
      </w:r>
      <w:r w:rsidR="00F31921">
        <w:t xml:space="preserve"> during the session</w:t>
      </w:r>
      <w:r>
        <w:t xml:space="preserve">. </w:t>
      </w:r>
      <w:r w:rsidR="0018190D">
        <w:t xml:space="preserve">Despite </w:t>
      </w:r>
      <w:r w:rsidR="003238B6">
        <w:t>careful planning</w:t>
      </w:r>
      <w:r w:rsidR="00DC43E6">
        <w:t>,</w:t>
      </w:r>
      <w:r w:rsidR="0018190D">
        <w:t xml:space="preserve"> problems with audio, cable and laptop incompatibility can occur.</w:t>
      </w:r>
    </w:p>
    <w:p w:rsidR="0075696E" w:rsidRDefault="0075696E" w:rsidP="00A83A0E">
      <w:pPr>
        <w:pStyle w:val="ListParagraph"/>
        <w:numPr>
          <w:ilvl w:val="0"/>
          <w:numId w:val="2"/>
        </w:numPr>
        <w:ind w:left="720"/>
      </w:pPr>
      <w:r>
        <w:t xml:space="preserve">Lighting </w:t>
      </w:r>
      <w:r w:rsidR="0018190D">
        <w:t>and backgrounds are important to</w:t>
      </w:r>
      <w:r>
        <w:t xml:space="preserve"> video quality. </w:t>
      </w:r>
      <w:r w:rsidR="004B4632">
        <w:t>E</w:t>
      </w:r>
      <w:r>
        <w:t>nhance</w:t>
      </w:r>
      <w:r w:rsidR="004463B5">
        <w:t>d</w:t>
      </w:r>
      <w:r>
        <w:t xml:space="preserve"> lighting </w:t>
      </w:r>
      <w:r w:rsidR="0018190D">
        <w:t xml:space="preserve">and attractive backdrops </w:t>
      </w:r>
      <w:r w:rsidR="004B4632">
        <w:t xml:space="preserve">should be considered </w:t>
      </w:r>
      <w:r>
        <w:t>for lecterns and panel tables.</w:t>
      </w:r>
    </w:p>
    <w:p w:rsidR="00FE0F2B" w:rsidRPr="00A83A0E" w:rsidRDefault="002126EB" w:rsidP="00FE0F2B">
      <w:pPr>
        <w:rPr>
          <w:u w:val="single"/>
        </w:rPr>
      </w:pPr>
      <w:r>
        <w:rPr>
          <w:u w:val="single"/>
        </w:rPr>
        <w:t>Summary</w:t>
      </w:r>
    </w:p>
    <w:p w:rsidR="00A83A0E" w:rsidRDefault="00A83A0E" w:rsidP="00FE0F2B">
      <w:r>
        <w:t xml:space="preserve">The distance education program </w:t>
      </w:r>
      <w:r w:rsidR="002126EB">
        <w:t>is a work in progress</w:t>
      </w:r>
      <w:r>
        <w:t xml:space="preserve">. </w:t>
      </w:r>
      <w:r w:rsidR="002126EB">
        <w:t xml:space="preserve">The response has been significant but </w:t>
      </w:r>
      <w:r w:rsidR="00CF0A8A">
        <w:t>certainly</w:t>
      </w:r>
      <w:r w:rsidR="002126EB">
        <w:t xml:space="preserve"> below initial projections. </w:t>
      </w:r>
      <w:r w:rsidR="00CF0A8A">
        <w:t>Registrations are</w:t>
      </w:r>
      <w:r w:rsidR="002126EB">
        <w:t xml:space="preserve"> likely to grow over time </w:t>
      </w:r>
      <w:r w:rsidR="00CF0A8A">
        <w:t>with improved marketing and better product quality.</w:t>
      </w:r>
      <w:r w:rsidR="002126EB">
        <w:t xml:space="preserve"> New technology is lowering costs and decreasing risks for experimentation. </w:t>
      </w:r>
    </w:p>
    <w:p w:rsidR="00CF0A8A" w:rsidRDefault="00CF0A8A" w:rsidP="00FE0F2B">
      <w:r>
        <w:t>Recommendations for 2016</w:t>
      </w:r>
      <w:r w:rsidR="00E7069E">
        <w:t>:</w:t>
      </w:r>
    </w:p>
    <w:p w:rsidR="00FE0F2B" w:rsidRDefault="00FE0F2B" w:rsidP="00FE0F2B">
      <w:pPr>
        <w:pStyle w:val="ListParagraph"/>
        <w:numPr>
          <w:ilvl w:val="0"/>
          <w:numId w:val="1"/>
        </w:numPr>
      </w:pPr>
      <w:r>
        <w:t>Continue distance education program incorporating lessons learned.</w:t>
      </w:r>
    </w:p>
    <w:p w:rsidR="00CF0A8A" w:rsidRDefault="00CF0A8A" w:rsidP="00CF0A8A">
      <w:pPr>
        <w:pStyle w:val="ListParagraph"/>
        <w:numPr>
          <w:ilvl w:val="0"/>
          <w:numId w:val="1"/>
        </w:numPr>
      </w:pPr>
      <w:r>
        <w:t>Implement marketing recommendations (above).</w:t>
      </w:r>
    </w:p>
    <w:p w:rsidR="00FE0F2B" w:rsidRDefault="00FE0F2B" w:rsidP="00FE0F2B">
      <w:pPr>
        <w:pStyle w:val="ListParagraph"/>
        <w:numPr>
          <w:ilvl w:val="0"/>
          <w:numId w:val="1"/>
        </w:numPr>
      </w:pPr>
      <w:r>
        <w:t>Build competence at creating integrated audio, video, and PowerPoint recordings of Chapter events.</w:t>
      </w:r>
    </w:p>
    <w:p w:rsidR="00CF0A8A" w:rsidRDefault="00FE0F2B" w:rsidP="00FE0F2B">
      <w:pPr>
        <w:pStyle w:val="ListParagraph"/>
        <w:numPr>
          <w:ilvl w:val="0"/>
          <w:numId w:val="1"/>
        </w:numPr>
      </w:pPr>
      <w:r>
        <w:t xml:space="preserve">Experiment with livestreaming </w:t>
      </w:r>
      <w:r w:rsidR="009972EF">
        <w:t>for at least</w:t>
      </w:r>
      <w:r>
        <w:t xml:space="preserve"> one </w:t>
      </w:r>
      <w:r w:rsidR="00A7247B">
        <w:t>educational event</w:t>
      </w:r>
      <w:r w:rsidR="009972EF">
        <w:t xml:space="preserve"> at</w:t>
      </w:r>
      <w:r>
        <w:t xml:space="preserve"> the 2016 Chapter Conference.</w:t>
      </w:r>
    </w:p>
    <w:p w:rsidR="00FE0F2B" w:rsidRDefault="00CF0A8A" w:rsidP="00FE0F2B">
      <w:pPr>
        <w:pStyle w:val="ListParagraph"/>
        <w:numPr>
          <w:ilvl w:val="0"/>
          <w:numId w:val="1"/>
        </w:numPr>
      </w:pPr>
      <w:r>
        <w:t>Use new technology to reduce overall pro</w:t>
      </w:r>
      <w:r w:rsidR="00E7069E">
        <w:t>gram</w:t>
      </w:r>
      <w:r>
        <w:t xml:space="preserve"> costs.</w:t>
      </w:r>
    </w:p>
    <w:p w:rsidR="00CF0A8A" w:rsidRDefault="00E7069E" w:rsidP="00FE0F2B">
      <w:pPr>
        <w:pStyle w:val="ListParagraph"/>
        <w:numPr>
          <w:ilvl w:val="0"/>
          <w:numId w:val="1"/>
        </w:numPr>
      </w:pPr>
      <w:r>
        <w:t>Analyze registration data to better m</w:t>
      </w:r>
      <w:r w:rsidR="00CF0A8A">
        <w:t xml:space="preserve">atch </w:t>
      </w:r>
      <w:r>
        <w:t xml:space="preserve">video </w:t>
      </w:r>
      <w:r w:rsidR="00CF0A8A">
        <w:t xml:space="preserve">production </w:t>
      </w:r>
      <w:r>
        <w:t xml:space="preserve">with </w:t>
      </w:r>
      <w:r w:rsidR="00CF0A8A">
        <w:t xml:space="preserve">demand. </w:t>
      </w:r>
    </w:p>
    <w:p w:rsidR="00FE0F2B" w:rsidRDefault="00FE0F2B" w:rsidP="00FE0F2B">
      <w:pPr>
        <w:pStyle w:val="ListParagraph"/>
        <w:numPr>
          <w:ilvl w:val="0"/>
          <w:numId w:val="1"/>
        </w:numPr>
      </w:pPr>
      <w:r w:rsidRPr="00544B2C">
        <w:t>Provide</w:t>
      </w:r>
      <w:r>
        <w:t xml:space="preserve"> support to Sections interested </w:t>
      </w:r>
      <w:r w:rsidR="009972EF">
        <w:t xml:space="preserve">in </w:t>
      </w:r>
      <w:r>
        <w:t>providing distance education options.</w:t>
      </w:r>
    </w:p>
    <w:p w:rsidR="00FE0F2B" w:rsidRDefault="00FE0F2B" w:rsidP="00FE0F2B"/>
    <w:sectPr w:rsidR="00FE0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16F4"/>
    <w:multiLevelType w:val="hybridMultilevel"/>
    <w:tmpl w:val="8B48F1E4"/>
    <w:lvl w:ilvl="0" w:tplc="DFD0A96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A812A2"/>
    <w:multiLevelType w:val="hybridMultilevel"/>
    <w:tmpl w:val="F83E1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D124968"/>
    <w:multiLevelType w:val="hybridMultilevel"/>
    <w:tmpl w:val="96048116"/>
    <w:lvl w:ilvl="0" w:tplc="DFD0A96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F0350C"/>
    <w:multiLevelType w:val="hybridMultilevel"/>
    <w:tmpl w:val="7B8C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690"/>
    <w:rsid w:val="00036F04"/>
    <w:rsid w:val="00093189"/>
    <w:rsid w:val="0011774B"/>
    <w:rsid w:val="0018190D"/>
    <w:rsid w:val="001A000E"/>
    <w:rsid w:val="001A5F73"/>
    <w:rsid w:val="001D4BC0"/>
    <w:rsid w:val="001D6030"/>
    <w:rsid w:val="002126EB"/>
    <w:rsid w:val="00223291"/>
    <w:rsid w:val="002249E4"/>
    <w:rsid w:val="002822F5"/>
    <w:rsid w:val="002A1D98"/>
    <w:rsid w:val="002C2715"/>
    <w:rsid w:val="00306EEA"/>
    <w:rsid w:val="003238B6"/>
    <w:rsid w:val="003A0260"/>
    <w:rsid w:val="003C33F6"/>
    <w:rsid w:val="003D409D"/>
    <w:rsid w:val="00422761"/>
    <w:rsid w:val="004463B5"/>
    <w:rsid w:val="00485FDF"/>
    <w:rsid w:val="004B4632"/>
    <w:rsid w:val="004C124A"/>
    <w:rsid w:val="004C5762"/>
    <w:rsid w:val="005445B6"/>
    <w:rsid w:val="00544B2C"/>
    <w:rsid w:val="005565D1"/>
    <w:rsid w:val="00581EF4"/>
    <w:rsid w:val="00600BE2"/>
    <w:rsid w:val="00627FAF"/>
    <w:rsid w:val="006540F0"/>
    <w:rsid w:val="00665B6E"/>
    <w:rsid w:val="0069591F"/>
    <w:rsid w:val="006A0FCA"/>
    <w:rsid w:val="00703CA5"/>
    <w:rsid w:val="00712E5E"/>
    <w:rsid w:val="0073463A"/>
    <w:rsid w:val="0075696E"/>
    <w:rsid w:val="0077006A"/>
    <w:rsid w:val="00776A2D"/>
    <w:rsid w:val="00783AD0"/>
    <w:rsid w:val="00786ABB"/>
    <w:rsid w:val="00840690"/>
    <w:rsid w:val="008C642B"/>
    <w:rsid w:val="008E720D"/>
    <w:rsid w:val="00922E59"/>
    <w:rsid w:val="00943592"/>
    <w:rsid w:val="00944765"/>
    <w:rsid w:val="009734E8"/>
    <w:rsid w:val="009972EF"/>
    <w:rsid w:val="009A37E6"/>
    <w:rsid w:val="009B76C1"/>
    <w:rsid w:val="009B778E"/>
    <w:rsid w:val="009D6A1D"/>
    <w:rsid w:val="009F1C8C"/>
    <w:rsid w:val="00A01191"/>
    <w:rsid w:val="00A112E2"/>
    <w:rsid w:val="00A46CF7"/>
    <w:rsid w:val="00A63747"/>
    <w:rsid w:val="00A7247B"/>
    <w:rsid w:val="00A83A0E"/>
    <w:rsid w:val="00B07E8C"/>
    <w:rsid w:val="00B770FA"/>
    <w:rsid w:val="00B85943"/>
    <w:rsid w:val="00BB1EEE"/>
    <w:rsid w:val="00BC59B7"/>
    <w:rsid w:val="00BE7748"/>
    <w:rsid w:val="00BF2EE6"/>
    <w:rsid w:val="00C05A4B"/>
    <w:rsid w:val="00C14114"/>
    <w:rsid w:val="00C84C98"/>
    <w:rsid w:val="00CF0A8A"/>
    <w:rsid w:val="00D71316"/>
    <w:rsid w:val="00DB689E"/>
    <w:rsid w:val="00DC43E6"/>
    <w:rsid w:val="00DD3F1D"/>
    <w:rsid w:val="00E562B4"/>
    <w:rsid w:val="00E7069E"/>
    <w:rsid w:val="00E96AF6"/>
    <w:rsid w:val="00EC43BA"/>
    <w:rsid w:val="00ED02D8"/>
    <w:rsid w:val="00ED15D7"/>
    <w:rsid w:val="00EF74AE"/>
    <w:rsid w:val="00F03E6A"/>
    <w:rsid w:val="00F31921"/>
    <w:rsid w:val="00F43CA1"/>
    <w:rsid w:val="00F543E6"/>
    <w:rsid w:val="00F66D56"/>
    <w:rsid w:val="00F7073B"/>
    <w:rsid w:val="00F8174B"/>
    <w:rsid w:val="00F9393E"/>
    <w:rsid w:val="00FE0F2B"/>
    <w:rsid w:val="00FE6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B2C"/>
    <w:pPr>
      <w:ind w:left="720"/>
      <w:contextualSpacing/>
    </w:pPr>
  </w:style>
  <w:style w:type="table" w:styleId="TableGrid">
    <w:name w:val="Table Grid"/>
    <w:basedOn w:val="TableNormal"/>
    <w:uiPriority w:val="39"/>
    <w:rsid w:val="00036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7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0FA"/>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B2C"/>
    <w:pPr>
      <w:ind w:left="720"/>
      <w:contextualSpacing/>
    </w:pPr>
  </w:style>
  <w:style w:type="table" w:styleId="TableGrid">
    <w:name w:val="Table Grid"/>
    <w:basedOn w:val="TableNormal"/>
    <w:uiPriority w:val="39"/>
    <w:rsid w:val="00036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7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cid:image001.png@01C97568.EE88535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6AC68-5D30-B54D-AEB1-31A3361C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5745</Characters>
  <Application>Microsoft Macintosh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Konar</dc:creator>
  <cp:keywords/>
  <dc:description/>
  <cp:lastModifiedBy>lauren De Valencia</cp:lastModifiedBy>
  <cp:revision>2</cp:revision>
  <cp:lastPrinted>2015-12-18T00:02:00Z</cp:lastPrinted>
  <dcterms:created xsi:type="dcterms:W3CDTF">2016-01-05T00:00:00Z</dcterms:created>
  <dcterms:modified xsi:type="dcterms:W3CDTF">2016-01-05T00:00:00Z</dcterms:modified>
</cp:coreProperties>
</file>