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4E11" w14:textId="77777777" w:rsidR="005D6658" w:rsidRDefault="005D6658" w:rsidP="005D6658">
      <w:pPr>
        <w:rPr>
          <w:b/>
        </w:rPr>
      </w:pPr>
      <w:r w:rsidRPr="0096660B">
        <w:rPr>
          <w:noProof/>
        </w:rPr>
        <w:drawing>
          <wp:inline distT="0" distB="0" distL="0" distR="0" wp14:anchorId="60CF6049" wp14:editId="0EADC09E">
            <wp:extent cx="2286000" cy="800100"/>
            <wp:effectExtent l="0" t="0" r="0" b="12700"/>
            <wp:docPr id="1" name="Picture 1" descr="Description: 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horizontal7408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800100"/>
                    </a:xfrm>
                    <a:prstGeom prst="rect">
                      <a:avLst/>
                    </a:prstGeom>
                    <a:noFill/>
                    <a:ln>
                      <a:noFill/>
                    </a:ln>
                  </pic:spPr>
                </pic:pic>
              </a:graphicData>
            </a:graphic>
          </wp:inline>
        </w:drawing>
      </w:r>
    </w:p>
    <w:p w14:paraId="456BB845" w14:textId="77777777" w:rsidR="005D6658" w:rsidRDefault="005D6658" w:rsidP="005D6658">
      <w:pPr>
        <w:rPr>
          <w:b/>
        </w:rPr>
      </w:pPr>
    </w:p>
    <w:p w14:paraId="5088FD97" w14:textId="77777777" w:rsidR="005D6658" w:rsidRPr="00F96A9C" w:rsidRDefault="005D6658" w:rsidP="005D6658">
      <w:pPr>
        <w:pBdr>
          <w:top w:val="single" w:sz="4" w:space="1" w:color="auto"/>
          <w:left w:val="single" w:sz="4" w:space="4" w:color="auto"/>
          <w:bottom w:val="single" w:sz="4" w:space="1" w:color="auto"/>
          <w:right w:val="single" w:sz="4" w:space="4" w:color="auto"/>
        </w:pBdr>
        <w:jc w:val="center"/>
        <w:outlineLvl w:val="0"/>
        <w:rPr>
          <w:rFonts w:ascii="Calibri" w:hAnsi="Calibri" w:cs="Arial"/>
          <w:b/>
          <w:color w:val="0000FF"/>
          <w:sz w:val="32"/>
          <w:szCs w:val="32"/>
        </w:rPr>
      </w:pPr>
      <w:r w:rsidRPr="00F96A9C">
        <w:rPr>
          <w:rFonts w:ascii="Calibri" w:hAnsi="Calibri" w:cs="Arial"/>
          <w:b/>
          <w:color w:val="0000FF"/>
          <w:sz w:val="32"/>
          <w:szCs w:val="32"/>
        </w:rPr>
        <w:t>APA CALIFORNIA LEGISLATIVE UPDATE</w:t>
      </w:r>
    </w:p>
    <w:p w14:paraId="3275717C" w14:textId="32D818A2" w:rsidR="005D6658" w:rsidRPr="00F96A9C" w:rsidRDefault="00323EFA" w:rsidP="005D6658">
      <w:pPr>
        <w:pBdr>
          <w:top w:val="single" w:sz="4" w:space="1" w:color="auto"/>
          <w:left w:val="single" w:sz="4" w:space="4" w:color="auto"/>
          <w:bottom w:val="single" w:sz="4" w:space="1" w:color="auto"/>
          <w:right w:val="single" w:sz="4" w:space="4" w:color="auto"/>
        </w:pBdr>
        <w:jc w:val="center"/>
        <w:rPr>
          <w:rFonts w:ascii="Calibri" w:hAnsi="Calibri" w:cs="Arial"/>
          <w:b/>
          <w:bCs/>
          <w:caps/>
          <w:sz w:val="32"/>
          <w:szCs w:val="32"/>
        </w:rPr>
      </w:pPr>
      <w:r>
        <w:rPr>
          <w:rFonts w:ascii="Calibri" w:hAnsi="Calibri" w:cs="Arial"/>
          <w:b/>
          <w:bCs/>
          <w:caps/>
          <w:sz w:val="32"/>
          <w:szCs w:val="32"/>
        </w:rPr>
        <w:t xml:space="preserve">SEPTEMBER </w:t>
      </w:r>
      <w:r w:rsidR="005D6658">
        <w:rPr>
          <w:rFonts w:ascii="Calibri" w:hAnsi="Calibri" w:cs="Arial"/>
          <w:b/>
          <w:bCs/>
          <w:caps/>
          <w:sz w:val="32"/>
          <w:szCs w:val="32"/>
        </w:rPr>
        <w:t>2017</w:t>
      </w:r>
    </w:p>
    <w:p w14:paraId="5E8F5D8A" w14:textId="77777777" w:rsidR="005D6658" w:rsidRPr="00F96A9C" w:rsidRDefault="005D6658" w:rsidP="005D6658">
      <w:pPr>
        <w:pBdr>
          <w:top w:val="single" w:sz="4" w:space="1" w:color="auto"/>
          <w:left w:val="single" w:sz="4" w:space="4" w:color="auto"/>
          <w:bottom w:val="single" w:sz="4" w:space="1" w:color="auto"/>
          <w:right w:val="single" w:sz="4" w:space="4" w:color="auto"/>
        </w:pBdr>
        <w:jc w:val="center"/>
        <w:outlineLvl w:val="0"/>
        <w:rPr>
          <w:rFonts w:ascii="Calibri" w:hAnsi="Calibri" w:cs="Arial"/>
          <w:b/>
          <w:sz w:val="32"/>
          <w:szCs w:val="32"/>
        </w:rPr>
      </w:pPr>
      <w:r w:rsidRPr="00F96A9C">
        <w:rPr>
          <w:rFonts w:ascii="Calibri" w:hAnsi="Calibri" w:cs="Arial"/>
          <w:b/>
          <w:sz w:val="32"/>
          <w:szCs w:val="32"/>
        </w:rPr>
        <w:t>By John Terell, AICP, Vice President Policy and Legislation</w:t>
      </w:r>
    </w:p>
    <w:p w14:paraId="3D045984" w14:textId="77777777" w:rsidR="005D6658" w:rsidRPr="00F96A9C" w:rsidRDefault="005D6658" w:rsidP="005D6658">
      <w:pPr>
        <w:pBdr>
          <w:top w:val="single" w:sz="4" w:space="1" w:color="auto"/>
          <w:left w:val="single" w:sz="4" w:space="4" w:color="auto"/>
          <w:bottom w:val="single" w:sz="4" w:space="1" w:color="auto"/>
          <w:right w:val="single" w:sz="4" w:space="4" w:color="auto"/>
        </w:pBdr>
        <w:jc w:val="center"/>
        <w:rPr>
          <w:rFonts w:ascii="Calibri" w:hAnsi="Calibri" w:cs="Arial"/>
          <w:b/>
          <w:sz w:val="32"/>
          <w:szCs w:val="32"/>
        </w:rPr>
      </w:pPr>
      <w:r w:rsidRPr="00F96A9C">
        <w:rPr>
          <w:rFonts w:ascii="Calibri" w:hAnsi="Calibri" w:cs="Arial"/>
          <w:b/>
          <w:sz w:val="32"/>
          <w:szCs w:val="32"/>
        </w:rPr>
        <w:t>Sande George, APA California Lobbyist</w:t>
      </w:r>
    </w:p>
    <w:p w14:paraId="6AEAE362" w14:textId="77777777" w:rsidR="005D6658" w:rsidRPr="00F31536" w:rsidRDefault="005D6658" w:rsidP="005D6658">
      <w:pPr>
        <w:pBdr>
          <w:top w:val="single" w:sz="4" w:space="1" w:color="auto"/>
          <w:left w:val="single" w:sz="4" w:space="4" w:color="auto"/>
          <w:bottom w:val="single" w:sz="4" w:space="1" w:color="auto"/>
          <w:right w:val="single" w:sz="4" w:space="4" w:color="auto"/>
        </w:pBdr>
        <w:jc w:val="center"/>
        <w:rPr>
          <w:rFonts w:ascii="Calibri" w:hAnsi="Calibri" w:cs="Arial"/>
          <w:b/>
          <w:sz w:val="32"/>
          <w:szCs w:val="32"/>
        </w:rPr>
      </w:pPr>
      <w:r w:rsidRPr="00F96A9C">
        <w:rPr>
          <w:rFonts w:ascii="Calibri" w:hAnsi="Calibri" w:cs="Arial"/>
          <w:b/>
          <w:sz w:val="32"/>
          <w:szCs w:val="32"/>
        </w:rPr>
        <w:t>Lauren De Valencia y Sanchez, APA California Lobbyist</w:t>
      </w:r>
    </w:p>
    <w:p w14:paraId="50221CEA" w14:textId="77777777" w:rsidR="005D6658" w:rsidRDefault="005D6658" w:rsidP="005D6658">
      <w:pPr>
        <w:widowControl w:val="0"/>
        <w:tabs>
          <w:tab w:val="left" w:pos="220"/>
          <w:tab w:val="left" w:pos="720"/>
          <w:tab w:val="left" w:pos="2427"/>
        </w:tabs>
        <w:autoSpaceDE w:val="0"/>
        <w:autoSpaceDN w:val="0"/>
        <w:adjustRightInd w:val="0"/>
        <w:jc w:val="both"/>
        <w:outlineLvl w:val="0"/>
        <w:rPr>
          <w:rFonts w:ascii="Calibri" w:hAnsi="Calibri" w:cs="Arial"/>
          <w:b/>
          <w:sz w:val="32"/>
          <w:szCs w:val="32"/>
          <w:u w:val="single"/>
        </w:rPr>
      </w:pPr>
    </w:p>
    <w:p w14:paraId="47BC0FA7" w14:textId="2BEB4F6F" w:rsidR="005D6658" w:rsidRPr="00273085" w:rsidRDefault="001224BF" w:rsidP="005D6658">
      <w:pPr>
        <w:widowControl w:val="0"/>
        <w:tabs>
          <w:tab w:val="left" w:pos="220"/>
          <w:tab w:val="left" w:pos="720"/>
          <w:tab w:val="left" w:pos="2427"/>
        </w:tabs>
        <w:autoSpaceDE w:val="0"/>
        <w:autoSpaceDN w:val="0"/>
        <w:adjustRightInd w:val="0"/>
        <w:jc w:val="both"/>
        <w:outlineLvl w:val="0"/>
        <w:rPr>
          <w:rFonts w:ascii="Arial" w:hAnsi="Arial" w:cs="Arial"/>
          <w:b/>
          <w:sz w:val="20"/>
          <w:szCs w:val="20"/>
          <w:u w:val="single"/>
        </w:rPr>
      </w:pPr>
      <w:r w:rsidRPr="007853B6">
        <w:rPr>
          <w:rFonts w:ascii="Arial" w:hAnsi="Arial" w:cs="Arial"/>
          <w:b/>
          <w:sz w:val="20"/>
          <w:szCs w:val="20"/>
          <w:highlight w:val="yellow"/>
          <w:u w:val="single"/>
        </w:rPr>
        <w:t>End of Session Nearing with Major Bills Still in Play</w:t>
      </w:r>
      <w:r>
        <w:rPr>
          <w:rFonts w:ascii="Arial" w:hAnsi="Arial" w:cs="Arial"/>
          <w:b/>
          <w:sz w:val="20"/>
          <w:szCs w:val="20"/>
          <w:u w:val="single"/>
        </w:rPr>
        <w:t xml:space="preserve"> </w:t>
      </w:r>
      <w:r w:rsidR="005D6658" w:rsidRPr="00273085">
        <w:rPr>
          <w:rFonts w:ascii="Arial" w:hAnsi="Arial" w:cs="Arial"/>
          <w:b/>
          <w:sz w:val="20"/>
          <w:szCs w:val="20"/>
          <w:u w:val="single"/>
        </w:rPr>
        <w:t xml:space="preserve"> </w:t>
      </w:r>
    </w:p>
    <w:p w14:paraId="0DB50F3D" w14:textId="524A5FF0" w:rsidR="007853B6" w:rsidRDefault="001224BF" w:rsidP="005D6658">
      <w:pPr>
        <w:widowControl w:val="0"/>
        <w:tabs>
          <w:tab w:val="left" w:pos="220"/>
          <w:tab w:val="left" w:pos="720"/>
          <w:tab w:val="left" w:pos="2427"/>
        </w:tabs>
        <w:autoSpaceDE w:val="0"/>
        <w:autoSpaceDN w:val="0"/>
        <w:adjustRightInd w:val="0"/>
        <w:jc w:val="both"/>
        <w:rPr>
          <w:rFonts w:ascii="Arial" w:hAnsi="Arial" w:cs="Arial"/>
          <w:sz w:val="20"/>
          <w:szCs w:val="20"/>
        </w:rPr>
      </w:pPr>
      <w:r>
        <w:rPr>
          <w:rFonts w:ascii="Arial" w:hAnsi="Arial" w:cs="Arial"/>
          <w:sz w:val="20"/>
          <w:szCs w:val="20"/>
        </w:rPr>
        <w:t xml:space="preserve">The 2017 Legislative Session </w:t>
      </w:r>
      <w:r w:rsidR="007853B6">
        <w:rPr>
          <w:rFonts w:ascii="Arial" w:hAnsi="Arial" w:cs="Arial"/>
          <w:sz w:val="20"/>
          <w:szCs w:val="20"/>
        </w:rPr>
        <w:t xml:space="preserve">will end </w:t>
      </w:r>
      <w:r>
        <w:rPr>
          <w:rFonts w:ascii="Arial" w:hAnsi="Arial" w:cs="Arial"/>
          <w:sz w:val="20"/>
          <w:szCs w:val="20"/>
        </w:rPr>
        <w:t>on September 15</w:t>
      </w:r>
      <w:r w:rsidRPr="001224BF">
        <w:rPr>
          <w:rFonts w:ascii="Arial" w:hAnsi="Arial" w:cs="Arial"/>
          <w:sz w:val="20"/>
          <w:szCs w:val="20"/>
          <w:vertAlign w:val="superscript"/>
        </w:rPr>
        <w:t>th</w:t>
      </w:r>
      <w:r>
        <w:rPr>
          <w:rFonts w:ascii="Arial" w:hAnsi="Arial" w:cs="Arial"/>
          <w:sz w:val="20"/>
          <w:szCs w:val="20"/>
        </w:rPr>
        <w:t xml:space="preserve">. </w:t>
      </w:r>
      <w:r w:rsidR="005D6658" w:rsidRPr="00273085">
        <w:rPr>
          <w:rFonts w:ascii="Arial" w:hAnsi="Arial" w:cs="Arial"/>
          <w:sz w:val="20"/>
          <w:szCs w:val="20"/>
        </w:rPr>
        <w:t xml:space="preserve">APA California </w:t>
      </w:r>
      <w:r w:rsidR="0092395B">
        <w:rPr>
          <w:rFonts w:ascii="Arial" w:hAnsi="Arial" w:cs="Arial"/>
          <w:sz w:val="20"/>
          <w:szCs w:val="20"/>
        </w:rPr>
        <w:t xml:space="preserve">is continuing to actively lobby bills of concern that are still </w:t>
      </w:r>
      <w:r>
        <w:rPr>
          <w:rFonts w:ascii="Arial" w:hAnsi="Arial" w:cs="Arial"/>
          <w:sz w:val="20"/>
          <w:szCs w:val="20"/>
        </w:rPr>
        <w:t>working their way towards the Governor</w:t>
      </w:r>
      <w:r w:rsidR="0092395B">
        <w:rPr>
          <w:rFonts w:ascii="Arial" w:hAnsi="Arial" w:cs="Arial"/>
          <w:sz w:val="20"/>
          <w:szCs w:val="20"/>
        </w:rPr>
        <w:t>, and supporting those that APA would like the Governor to sign</w:t>
      </w:r>
      <w:r w:rsidR="005D6658" w:rsidRPr="00273085">
        <w:rPr>
          <w:rFonts w:ascii="Arial" w:hAnsi="Arial" w:cs="Arial"/>
          <w:sz w:val="20"/>
          <w:szCs w:val="20"/>
        </w:rPr>
        <w:t xml:space="preserve">. </w:t>
      </w:r>
      <w:r>
        <w:rPr>
          <w:rFonts w:ascii="Arial" w:hAnsi="Arial" w:cs="Arial"/>
          <w:sz w:val="20"/>
          <w:szCs w:val="20"/>
        </w:rPr>
        <w:t xml:space="preserve">Once session ends, all bills that </w:t>
      </w:r>
      <w:r w:rsidR="004C4029">
        <w:rPr>
          <w:rFonts w:ascii="Arial" w:hAnsi="Arial" w:cs="Arial"/>
          <w:sz w:val="20"/>
          <w:szCs w:val="20"/>
        </w:rPr>
        <w:t>pass</w:t>
      </w:r>
      <w:r>
        <w:rPr>
          <w:rFonts w:ascii="Arial" w:hAnsi="Arial" w:cs="Arial"/>
          <w:sz w:val="20"/>
          <w:szCs w:val="20"/>
        </w:rPr>
        <w:t xml:space="preserve"> will be sent to the Governor – he must sign or veto those bills by October 15</w:t>
      </w:r>
      <w:r w:rsidRPr="001224BF">
        <w:rPr>
          <w:rFonts w:ascii="Arial" w:hAnsi="Arial" w:cs="Arial"/>
          <w:sz w:val="20"/>
          <w:szCs w:val="20"/>
          <w:vertAlign w:val="superscript"/>
        </w:rPr>
        <w:t>th</w:t>
      </w:r>
      <w:r>
        <w:rPr>
          <w:rFonts w:ascii="Arial" w:hAnsi="Arial" w:cs="Arial"/>
          <w:sz w:val="20"/>
          <w:szCs w:val="20"/>
        </w:rPr>
        <w:t xml:space="preserve">. All other bills that don’t </w:t>
      </w:r>
      <w:r w:rsidR="0063483D">
        <w:rPr>
          <w:rFonts w:ascii="Arial" w:hAnsi="Arial" w:cs="Arial"/>
          <w:sz w:val="20"/>
          <w:szCs w:val="20"/>
        </w:rPr>
        <w:t>pass</w:t>
      </w:r>
      <w:r>
        <w:rPr>
          <w:rFonts w:ascii="Arial" w:hAnsi="Arial" w:cs="Arial"/>
          <w:sz w:val="20"/>
          <w:szCs w:val="20"/>
        </w:rPr>
        <w:t xml:space="preserve"> </w:t>
      </w:r>
      <w:r w:rsidR="007853B6">
        <w:rPr>
          <w:rFonts w:ascii="Arial" w:hAnsi="Arial" w:cs="Arial"/>
          <w:sz w:val="20"/>
          <w:szCs w:val="20"/>
        </w:rPr>
        <w:t xml:space="preserve">will </w:t>
      </w:r>
      <w:r>
        <w:rPr>
          <w:rFonts w:ascii="Arial" w:hAnsi="Arial" w:cs="Arial"/>
          <w:sz w:val="20"/>
          <w:szCs w:val="20"/>
        </w:rPr>
        <w:t xml:space="preserve">become two-year bills and can be brought up again next year. </w:t>
      </w:r>
      <w:r w:rsidR="007853B6">
        <w:rPr>
          <w:rFonts w:ascii="Arial" w:hAnsi="Arial" w:cs="Arial"/>
          <w:sz w:val="20"/>
          <w:szCs w:val="20"/>
        </w:rPr>
        <w:t xml:space="preserve">It’s important to note that many bills that APA California </w:t>
      </w:r>
      <w:r w:rsidR="0092395B">
        <w:rPr>
          <w:rFonts w:ascii="Arial" w:hAnsi="Arial" w:cs="Arial"/>
          <w:sz w:val="20"/>
          <w:szCs w:val="20"/>
        </w:rPr>
        <w:t>opposed earlier in the year</w:t>
      </w:r>
      <w:r w:rsidR="007853B6">
        <w:rPr>
          <w:rFonts w:ascii="Arial" w:hAnsi="Arial" w:cs="Arial"/>
          <w:sz w:val="20"/>
          <w:szCs w:val="20"/>
        </w:rPr>
        <w:t xml:space="preserve"> have already become two-year bills</w:t>
      </w:r>
      <w:r w:rsidR="0092395B">
        <w:rPr>
          <w:rFonts w:ascii="Arial" w:hAnsi="Arial" w:cs="Arial"/>
          <w:sz w:val="20"/>
          <w:szCs w:val="20"/>
        </w:rPr>
        <w:t>.  W</w:t>
      </w:r>
      <w:r w:rsidR="007853B6">
        <w:rPr>
          <w:rFonts w:ascii="Arial" w:hAnsi="Arial" w:cs="Arial"/>
          <w:sz w:val="20"/>
          <w:szCs w:val="20"/>
        </w:rPr>
        <w:t xml:space="preserve">e expect them to move again next year. </w:t>
      </w:r>
    </w:p>
    <w:p w14:paraId="5364BC6A" w14:textId="77777777" w:rsidR="007853B6" w:rsidRDefault="007853B6" w:rsidP="005D6658">
      <w:pPr>
        <w:widowControl w:val="0"/>
        <w:tabs>
          <w:tab w:val="left" w:pos="220"/>
          <w:tab w:val="left" w:pos="720"/>
          <w:tab w:val="left" w:pos="2427"/>
        </w:tabs>
        <w:autoSpaceDE w:val="0"/>
        <w:autoSpaceDN w:val="0"/>
        <w:adjustRightInd w:val="0"/>
        <w:jc w:val="both"/>
        <w:rPr>
          <w:rFonts w:ascii="Arial" w:hAnsi="Arial" w:cs="Arial"/>
          <w:sz w:val="20"/>
          <w:szCs w:val="20"/>
        </w:rPr>
      </w:pPr>
    </w:p>
    <w:p w14:paraId="14B160EC" w14:textId="76165FC3" w:rsidR="005D6658" w:rsidRPr="00C74C45" w:rsidRDefault="001224BF" w:rsidP="005D6658">
      <w:pPr>
        <w:widowControl w:val="0"/>
        <w:tabs>
          <w:tab w:val="left" w:pos="220"/>
          <w:tab w:val="left" w:pos="720"/>
          <w:tab w:val="left" w:pos="2427"/>
        </w:tabs>
        <w:autoSpaceDE w:val="0"/>
        <w:autoSpaceDN w:val="0"/>
        <w:adjustRightInd w:val="0"/>
        <w:jc w:val="both"/>
        <w:rPr>
          <w:rFonts w:ascii="Arial" w:hAnsi="Arial" w:cs="Arial"/>
          <w:b/>
          <w:sz w:val="20"/>
          <w:szCs w:val="20"/>
        </w:rPr>
      </w:pPr>
      <w:r w:rsidRPr="00C74C45">
        <w:rPr>
          <w:rFonts w:ascii="Arial" w:hAnsi="Arial" w:cs="Arial"/>
          <w:b/>
          <w:sz w:val="20"/>
          <w:szCs w:val="20"/>
        </w:rPr>
        <w:t xml:space="preserve">Because this article will be released before the end of session, please make sure to attend the annual Legislative Update Session at the APA California Conference for an update on what happened to important bills. </w:t>
      </w:r>
    </w:p>
    <w:p w14:paraId="73DFFCBF"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sz w:val="20"/>
          <w:szCs w:val="20"/>
        </w:rPr>
      </w:pPr>
    </w:p>
    <w:p w14:paraId="55C3FD90" w14:textId="2248ABD8" w:rsidR="00E24654" w:rsidRPr="00E24654" w:rsidRDefault="00E24654" w:rsidP="005D6658">
      <w:pPr>
        <w:widowControl w:val="0"/>
        <w:tabs>
          <w:tab w:val="left" w:pos="220"/>
          <w:tab w:val="left" w:pos="720"/>
          <w:tab w:val="left" w:pos="2427"/>
        </w:tabs>
        <w:autoSpaceDE w:val="0"/>
        <w:autoSpaceDN w:val="0"/>
        <w:adjustRightInd w:val="0"/>
        <w:jc w:val="both"/>
        <w:rPr>
          <w:rFonts w:ascii="Arial" w:hAnsi="Arial" w:cs="Arial"/>
          <w:b/>
          <w:sz w:val="20"/>
          <w:szCs w:val="20"/>
          <w:u w:val="single"/>
        </w:rPr>
      </w:pPr>
      <w:r w:rsidRPr="007853B6">
        <w:rPr>
          <w:rFonts w:ascii="Arial" w:hAnsi="Arial" w:cs="Arial"/>
          <w:b/>
          <w:sz w:val="20"/>
          <w:szCs w:val="20"/>
          <w:highlight w:val="yellow"/>
          <w:u w:val="single"/>
        </w:rPr>
        <w:t xml:space="preserve">Housing </w:t>
      </w:r>
      <w:r w:rsidRPr="00F42EB2">
        <w:rPr>
          <w:rFonts w:ascii="Arial" w:hAnsi="Arial" w:cs="Arial"/>
          <w:b/>
          <w:sz w:val="20"/>
          <w:szCs w:val="20"/>
          <w:highlight w:val="yellow"/>
          <w:u w:val="single"/>
        </w:rPr>
        <w:t>Package</w:t>
      </w:r>
      <w:r w:rsidR="00F42EB2" w:rsidRPr="00F42EB2">
        <w:rPr>
          <w:rFonts w:ascii="Arial" w:hAnsi="Arial" w:cs="Arial"/>
          <w:b/>
          <w:sz w:val="20"/>
          <w:szCs w:val="20"/>
          <w:highlight w:val="yellow"/>
          <w:u w:val="single"/>
        </w:rPr>
        <w:t xml:space="preserve"> </w:t>
      </w:r>
      <w:r w:rsidR="00F42EB2" w:rsidRPr="0092395B">
        <w:rPr>
          <w:rFonts w:ascii="Arial" w:hAnsi="Arial" w:cs="Arial"/>
          <w:b/>
          <w:sz w:val="20"/>
          <w:szCs w:val="20"/>
          <w:highlight w:val="yellow"/>
          <w:u w:val="single"/>
        </w:rPr>
        <w:t xml:space="preserve">Still </w:t>
      </w:r>
      <w:r w:rsidR="0092395B" w:rsidRPr="0092395B">
        <w:rPr>
          <w:rFonts w:ascii="Arial" w:hAnsi="Arial" w:cs="Arial"/>
          <w:b/>
          <w:sz w:val="20"/>
          <w:szCs w:val="20"/>
          <w:highlight w:val="yellow"/>
          <w:u w:val="single"/>
        </w:rPr>
        <w:t>Under Discussion</w:t>
      </w:r>
      <w:r w:rsidR="00F42EB2">
        <w:rPr>
          <w:rFonts w:ascii="Arial" w:hAnsi="Arial" w:cs="Arial"/>
          <w:b/>
          <w:sz w:val="20"/>
          <w:szCs w:val="20"/>
          <w:u w:val="single"/>
        </w:rPr>
        <w:t xml:space="preserve"> </w:t>
      </w:r>
      <w:r>
        <w:rPr>
          <w:rFonts w:ascii="Arial" w:hAnsi="Arial" w:cs="Arial"/>
          <w:b/>
          <w:sz w:val="20"/>
          <w:szCs w:val="20"/>
          <w:u w:val="single"/>
        </w:rPr>
        <w:t xml:space="preserve"> </w:t>
      </w:r>
    </w:p>
    <w:p w14:paraId="4A34BA99" w14:textId="7F3EC357" w:rsidR="001E40D2" w:rsidRPr="001E40D2" w:rsidRDefault="004F3186" w:rsidP="001E40D2">
      <w:pPr>
        <w:widowControl w:val="0"/>
        <w:tabs>
          <w:tab w:val="left" w:pos="220"/>
          <w:tab w:val="left" w:pos="720"/>
          <w:tab w:val="left" w:pos="2427"/>
        </w:tabs>
        <w:autoSpaceDE w:val="0"/>
        <w:autoSpaceDN w:val="0"/>
        <w:adjustRightInd w:val="0"/>
        <w:jc w:val="both"/>
        <w:rPr>
          <w:rFonts w:ascii="Arial" w:eastAsia="MS Mincho" w:hAnsi="Arial" w:cs="Arial"/>
          <w:sz w:val="20"/>
          <w:szCs w:val="20"/>
        </w:rPr>
      </w:pPr>
      <w:r>
        <w:rPr>
          <w:rFonts w:ascii="Arial" w:hAnsi="Arial" w:cs="Arial"/>
          <w:sz w:val="20"/>
          <w:szCs w:val="20"/>
        </w:rPr>
        <w:t xml:space="preserve">While the </w:t>
      </w:r>
      <w:r w:rsidR="00C920E7">
        <w:rPr>
          <w:rFonts w:ascii="Arial" w:hAnsi="Arial" w:cs="Arial"/>
          <w:sz w:val="20"/>
          <w:szCs w:val="20"/>
        </w:rPr>
        <w:t>Governor</w:t>
      </w:r>
      <w:r>
        <w:rPr>
          <w:rFonts w:ascii="Arial" w:hAnsi="Arial" w:cs="Arial"/>
          <w:sz w:val="20"/>
          <w:szCs w:val="20"/>
        </w:rPr>
        <w:t xml:space="preserve"> didn’t </w:t>
      </w:r>
      <w:r w:rsidR="00C920E7">
        <w:rPr>
          <w:rFonts w:ascii="Arial" w:hAnsi="Arial" w:cs="Arial"/>
          <w:sz w:val="20"/>
          <w:szCs w:val="20"/>
        </w:rPr>
        <w:t>directly</w:t>
      </w:r>
      <w:r>
        <w:rPr>
          <w:rFonts w:ascii="Arial" w:hAnsi="Arial" w:cs="Arial"/>
          <w:sz w:val="20"/>
          <w:szCs w:val="20"/>
        </w:rPr>
        <w:t xml:space="preserve"> include any monies in the </w:t>
      </w:r>
      <w:r w:rsidR="00871190">
        <w:rPr>
          <w:rFonts w:ascii="Arial" w:hAnsi="Arial" w:cs="Arial"/>
          <w:sz w:val="20"/>
          <w:szCs w:val="20"/>
        </w:rPr>
        <w:t xml:space="preserve">2017-2018 </w:t>
      </w:r>
      <w:r>
        <w:rPr>
          <w:rFonts w:ascii="Arial" w:hAnsi="Arial" w:cs="Arial"/>
          <w:sz w:val="20"/>
          <w:szCs w:val="20"/>
        </w:rPr>
        <w:t xml:space="preserve">budget for affordable housing, he did </w:t>
      </w:r>
      <w:r w:rsidR="005D6658" w:rsidRPr="00273085">
        <w:rPr>
          <w:rFonts w:ascii="Arial" w:hAnsi="Arial" w:cs="Arial"/>
          <w:sz w:val="20"/>
          <w:szCs w:val="20"/>
        </w:rPr>
        <w:t>ask the Legislature by the end of the year to send</w:t>
      </w:r>
      <w:r w:rsidR="00E24654">
        <w:rPr>
          <w:rFonts w:ascii="Arial" w:hAnsi="Arial" w:cs="Arial"/>
          <w:sz w:val="20"/>
          <w:szCs w:val="20"/>
        </w:rPr>
        <w:t xml:space="preserve"> him </w:t>
      </w:r>
      <w:r w:rsidR="00782943">
        <w:rPr>
          <w:rFonts w:ascii="Arial" w:hAnsi="Arial" w:cs="Arial"/>
          <w:sz w:val="20"/>
          <w:szCs w:val="20"/>
        </w:rPr>
        <w:t xml:space="preserve">bills to streamline the </w:t>
      </w:r>
      <w:r w:rsidR="0092395B">
        <w:rPr>
          <w:rFonts w:ascii="Arial" w:hAnsi="Arial" w:cs="Arial"/>
          <w:sz w:val="20"/>
          <w:szCs w:val="20"/>
        </w:rPr>
        <w:t>local approvals</w:t>
      </w:r>
      <w:r w:rsidR="00782943">
        <w:rPr>
          <w:rFonts w:ascii="Arial" w:hAnsi="Arial" w:cs="Arial"/>
          <w:sz w:val="20"/>
          <w:szCs w:val="20"/>
        </w:rPr>
        <w:t xml:space="preserve"> of </w:t>
      </w:r>
      <w:r w:rsidR="00E24654">
        <w:rPr>
          <w:rFonts w:ascii="Arial" w:hAnsi="Arial" w:cs="Arial"/>
          <w:sz w:val="20"/>
          <w:szCs w:val="20"/>
        </w:rPr>
        <w:t xml:space="preserve">housing. </w:t>
      </w:r>
      <w:r w:rsidR="00782943">
        <w:rPr>
          <w:rFonts w:ascii="Arial" w:hAnsi="Arial" w:cs="Arial"/>
          <w:sz w:val="20"/>
          <w:szCs w:val="20"/>
        </w:rPr>
        <w:t>Over 130 housing bills were introduced in January</w:t>
      </w:r>
      <w:r w:rsidR="002A7DE7">
        <w:rPr>
          <w:rFonts w:ascii="Arial" w:hAnsi="Arial" w:cs="Arial"/>
          <w:sz w:val="20"/>
          <w:szCs w:val="20"/>
        </w:rPr>
        <w:t xml:space="preserve">. </w:t>
      </w:r>
      <w:r w:rsidR="00782943">
        <w:rPr>
          <w:rFonts w:ascii="Arial" w:hAnsi="Arial" w:cs="Arial"/>
          <w:sz w:val="20"/>
          <w:szCs w:val="20"/>
        </w:rPr>
        <w:t>Th</w:t>
      </w:r>
      <w:r w:rsidR="00E24654">
        <w:rPr>
          <w:rFonts w:ascii="Arial" w:hAnsi="Arial" w:cs="Arial"/>
          <w:sz w:val="20"/>
          <w:szCs w:val="20"/>
        </w:rPr>
        <w:t xml:space="preserve">e Governor </w:t>
      </w:r>
      <w:r w:rsidR="00C920E7">
        <w:rPr>
          <w:rFonts w:ascii="Arial" w:hAnsi="Arial" w:cs="Arial"/>
          <w:sz w:val="20"/>
          <w:szCs w:val="20"/>
        </w:rPr>
        <w:t>recently</w:t>
      </w:r>
      <w:r w:rsidR="00E24654" w:rsidRPr="00E24654">
        <w:rPr>
          <w:rFonts w:ascii="Arial" w:eastAsia="MS Mincho" w:hAnsi="Arial" w:cs="Arial"/>
          <w:sz w:val="20"/>
          <w:szCs w:val="20"/>
        </w:rPr>
        <w:t xml:space="preserve"> engaged on all of the major housing bills</w:t>
      </w:r>
      <w:r w:rsidR="00782943">
        <w:rPr>
          <w:rFonts w:ascii="Arial" w:eastAsia="MS Mincho" w:hAnsi="Arial" w:cs="Arial"/>
          <w:sz w:val="20"/>
          <w:szCs w:val="20"/>
        </w:rPr>
        <w:t xml:space="preserve">, and has </w:t>
      </w:r>
      <w:r w:rsidR="0092395B">
        <w:rPr>
          <w:rFonts w:ascii="Arial" w:eastAsia="MS Mincho" w:hAnsi="Arial" w:cs="Arial"/>
          <w:sz w:val="20"/>
          <w:szCs w:val="20"/>
        </w:rPr>
        <w:t xml:space="preserve">been working with the </w:t>
      </w:r>
      <w:r w:rsidR="001E40D2" w:rsidRPr="001E40D2">
        <w:rPr>
          <w:rFonts w:ascii="Arial" w:eastAsia="MS Mincho" w:hAnsi="Arial" w:cs="Arial"/>
          <w:sz w:val="20"/>
          <w:szCs w:val="20"/>
        </w:rPr>
        <w:t>Ass</w:t>
      </w:r>
      <w:r w:rsidR="00E504AE">
        <w:rPr>
          <w:rFonts w:ascii="Arial" w:eastAsia="MS Mincho" w:hAnsi="Arial" w:cs="Arial"/>
          <w:sz w:val="20"/>
          <w:szCs w:val="20"/>
        </w:rPr>
        <w:t xml:space="preserve">embly and Senate Leadership </w:t>
      </w:r>
      <w:r w:rsidR="0092395B">
        <w:rPr>
          <w:rFonts w:ascii="Arial" w:eastAsia="MS Mincho" w:hAnsi="Arial" w:cs="Arial"/>
          <w:sz w:val="20"/>
          <w:szCs w:val="20"/>
        </w:rPr>
        <w:t>and authors on a</w:t>
      </w:r>
      <w:r w:rsidR="001E40D2" w:rsidRPr="001E40D2">
        <w:rPr>
          <w:rFonts w:ascii="Arial" w:eastAsia="MS Mincho" w:hAnsi="Arial" w:cs="Arial"/>
          <w:sz w:val="20"/>
          <w:szCs w:val="20"/>
        </w:rPr>
        <w:t xml:space="preserve"> housing package of bills that will be heard on the floors and then sent quickly to the Governor </w:t>
      </w:r>
      <w:r w:rsidR="00E504AE">
        <w:rPr>
          <w:rFonts w:ascii="Arial" w:eastAsia="MS Mincho" w:hAnsi="Arial" w:cs="Arial"/>
          <w:sz w:val="20"/>
          <w:szCs w:val="20"/>
        </w:rPr>
        <w:t>any day now. APA California</w:t>
      </w:r>
      <w:r w:rsidR="0092395B">
        <w:rPr>
          <w:rFonts w:ascii="Arial" w:eastAsia="MS Mincho" w:hAnsi="Arial" w:cs="Arial"/>
          <w:sz w:val="20"/>
          <w:szCs w:val="20"/>
        </w:rPr>
        <w:t xml:space="preserve"> has weighed in on many of the big housing bills throughout the session and continue to do so. Additionally</w:t>
      </w:r>
      <w:r w:rsidR="00E504AE">
        <w:rPr>
          <w:rFonts w:ascii="Arial" w:eastAsia="MS Mincho" w:hAnsi="Arial" w:cs="Arial"/>
          <w:sz w:val="20"/>
          <w:szCs w:val="20"/>
        </w:rPr>
        <w:t>, along with our local government association partners</w:t>
      </w:r>
      <w:r w:rsidR="00FD5423">
        <w:rPr>
          <w:rFonts w:ascii="Arial" w:eastAsia="MS Mincho" w:hAnsi="Arial" w:cs="Arial"/>
          <w:sz w:val="20"/>
          <w:szCs w:val="20"/>
        </w:rPr>
        <w:t>,</w:t>
      </w:r>
      <w:r w:rsidR="0092395B">
        <w:rPr>
          <w:rFonts w:ascii="Arial" w:eastAsia="MS Mincho" w:hAnsi="Arial" w:cs="Arial"/>
          <w:sz w:val="20"/>
          <w:szCs w:val="20"/>
        </w:rPr>
        <w:t xml:space="preserve"> and a coalition of other organizations interested in housing,</w:t>
      </w:r>
      <w:r w:rsidR="00E504AE">
        <w:rPr>
          <w:rFonts w:ascii="Arial" w:eastAsia="MS Mincho" w:hAnsi="Arial" w:cs="Arial"/>
          <w:sz w:val="20"/>
          <w:szCs w:val="20"/>
        </w:rPr>
        <w:t xml:space="preserve"> </w:t>
      </w:r>
      <w:r w:rsidR="00FD5423">
        <w:rPr>
          <w:rFonts w:ascii="Arial" w:eastAsia="MS Mincho" w:hAnsi="Arial" w:cs="Arial"/>
          <w:sz w:val="20"/>
          <w:szCs w:val="20"/>
        </w:rPr>
        <w:t xml:space="preserve">we </w:t>
      </w:r>
      <w:r w:rsidR="00E504AE">
        <w:rPr>
          <w:rFonts w:ascii="Arial" w:eastAsia="MS Mincho" w:hAnsi="Arial" w:cs="Arial"/>
          <w:sz w:val="20"/>
          <w:szCs w:val="20"/>
        </w:rPr>
        <w:t xml:space="preserve">have </w:t>
      </w:r>
      <w:r w:rsidR="007544D4">
        <w:rPr>
          <w:rFonts w:ascii="Arial" w:eastAsia="MS Mincho" w:hAnsi="Arial" w:cs="Arial"/>
          <w:sz w:val="20"/>
          <w:szCs w:val="20"/>
        </w:rPr>
        <w:t>met with the Governor’s office</w:t>
      </w:r>
      <w:r w:rsidR="00F42EB2">
        <w:rPr>
          <w:rFonts w:ascii="Arial" w:eastAsia="MS Mincho" w:hAnsi="Arial" w:cs="Arial"/>
          <w:sz w:val="20"/>
          <w:szCs w:val="20"/>
        </w:rPr>
        <w:t xml:space="preserve"> to express concerns with various bills thought to be part of that package.</w:t>
      </w:r>
      <w:r w:rsidR="0063483D">
        <w:rPr>
          <w:rFonts w:ascii="Arial" w:eastAsia="MS Mincho" w:hAnsi="Arial" w:cs="Arial"/>
          <w:sz w:val="20"/>
          <w:szCs w:val="20"/>
        </w:rPr>
        <w:t xml:space="preserve"> </w:t>
      </w:r>
      <w:r w:rsidR="00F42EB2">
        <w:rPr>
          <w:rFonts w:ascii="Arial" w:eastAsia="MS Mincho" w:hAnsi="Arial" w:cs="Arial"/>
          <w:sz w:val="20"/>
          <w:szCs w:val="20"/>
        </w:rPr>
        <w:t xml:space="preserve">While we know that SB 2, SB 3 and SB 35 (details below) are all </w:t>
      </w:r>
      <w:r w:rsidR="0063483D">
        <w:rPr>
          <w:rFonts w:ascii="Arial" w:eastAsia="MS Mincho" w:hAnsi="Arial" w:cs="Arial"/>
          <w:sz w:val="20"/>
          <w:szCs w:val="20"/>
        </w:rPr>
        <w:t xml:space="preserve">included, there has been no confirmation on </w:t>
      </w:r>
      <w:r w:rsidR="00FD5423">
        <w:rPr>
          <w:rFonts w:ascii="Arial" w:eastAsia="MS Mincho" w:hAnsi="Arial" w:cs="Arial"/>
          <w:sz w:val="20"/>
          <w:szCs w:val="20"/>
        </w:rPr>
        <w:t>the full list of</w:t>
      </w:r>
      <w:r w:rsidR="0063483D">
        <w:rPr>
          <w:rFonts w:ascii="Arial" w:eastAsia="MS Mincho" w:hAnsi="Arial" w:cs="Arial"/>
          <w:sz w:val="20"/>
          <w:szCs w:val="20"/>
        </w:rPr>
        <w:t xml:space="preserve"> bills that will be </w:t>
      </w:r>
      <w:r w:rsidR="0092395B">
        <w:rPr>
          <w:rFonts w:ascii="Arial" w:eastAsia="MS Mincho" w:hAnsi="Arial" w:cs="Arial"/>
          <w:sz w:val="20"/>
          <w:szCs w:val="20"/>
        </w:rPr>
        <w:t>in the final housing package that has been blessed by the Governor.</w:t>
      </w:r>
      <w:r w:rsidR="0063483D">
        <w:rPr>
          <w:rFonts w:ascii="Arial" w:eastAsia="MS Mincho" w:hAnsi="Arial" w:cs="Arial"/>
          <w:sz w:val="20"/>
          <w:szCs w:val="20"/>
        </w:rPr>
        <w:t xml:space="preserve"> </w:t>
      </w:r>
    </w:p>
    <w:p w14:paraId="5DBFB729" w14:textId="7E0BA32C" w:rsidR="001E40D2" w:rsidRPr="001E40D2" w:rsidRDefault="001E40D2" w:rsidP="001E40D2">
      <w:pPr>
        <w:widowControl w:val="0"/>
        <w:tabs>
          <w:tab w:val="left" w:pos="220"/>
          <w:tab w:val="left" w:pos="720"/>
          <w:tab w:val="left" w:pos="2427"/>
        </w:tabs>
        <w:autoSpaceDE w:val="0"/>
        <w:autoSpaceDN w:val="0"/>
        <w:adjustRightInd w:val="0"/>
        <w:jc w:val="both"/>
        <w:rPr>
          <w:rFonts w:ascii="Arial" w:eastAsia="MS Mincho" w:hAnsi="Arial" w:cs="Arial"/>
          <w:sz w:val="20"/>
          <w:szCs w:val="20"/>
        </w:rPr>
      </w:pPr>
      <w:r w:rsidRPr="001E40D2">
        <w:rPr>
          <w:rFonts w:ascii="Arial" w:eastAsia="MS Mincho" w:hAnsi="Arial" w:cs="Arial"/>
          <w:sz w:val="20"/>
          <w:szCs w:val="20"/>
        </w:rPr>
        <w:t>  </w:t>
      </w:r>
    </w:p>
    <w:p w14:paraId="1EE28E57" w14:textId="5176C5FC" w:rsidR="001E40D2" w:rsidRDefault="001E40D2" w:rsidP="001E40D2">
      <w:pPr>
        <w:widowControl w:val="0"/>
        <w:tabs>
          <w:tab w:val="left" w:pos="220"/>
          <w:tab w:val="left" w:pos="720"/>
          <w:tab w:val="left" w:pos="2427"/>
        </w:tabs>
        <w:autoSpaceDE w:val="0"/>
        <w:autoSpaceDN w:val="0"/>
        <w:adjustRightInd w:val="0"/>
        <w:jc w:val="both"/>
        <w:rPr>
          <w:rFonts w:ascii="Arial" w:eastAsia="MS Mincho" w:hAnsi="Arial" w:cs="Arial"/>
          <w:sz w:val="20"/>
          <w:szCs w:val="20"/>
        </w:rPr>
      </w:pPr>
      <w:r w:rsidRPr="001E40D2">
        <w:rPr>
          <w:rFonts w:ascii="Arial" w:eastAsia="MS Mincho" w:hAnsi="Arial" w:cs="Arial"/>
          <w:sz w:val="20"/>
          <w:szCs w:val="20"/>
        </w:rPr>
        <w:t xml:space="preserve">As </w:t>
      </w:r>
      <w:r w:rsidR="0063483D">
        <w:rPr>
          <w:rFonts w:ascii="Arial" w:eastAsia="MS Mincho" w:hAnsi="Arial" w:cs="Arial"/>
          <w:sz w:val="20"/>
          <w:szCs w:val="20"/>
        </w:rPr>
        <w:t xml:space="preserve">you will </w:t>
      </w:r>
      <w:r w:rsidRPr="001E40D2">
        <w:rPr>
          <w:rFonts w:ascii="Arial" w:eastAsia="MS Mincho" w:hAnsi="Arial" w:cs="Arial"/>
          <w:sz w:val="20"/>
          <w:szCs w:val="20"/>
        </w:rPr>
        <w:t>see</w:t>
      </w:r>
      <w:r w:rsidR="0063483D">
        <w:rPr>
          <w:rFonts w:ascii="Arial" w:eastAsia="MS Mincho" w:hAnsi="Arial" w:cs="Arial"/>
          <w:sz w:val="20"/>
          <w:szCs w:val="20"/>
        </w:rPr>
        <w:t xml:space="preserve"> (below)</w:t>
      </w:r>
      <w:r w:rsidRPr="001E40D2">
        <w:rPr>
          <w:rFonts w:ascii="Arial" w:eastAsia="MS Mincho" w:hAnsi="Arial" w:cs="Arial"/>
          <w:sz w:val="20"/>
          <w:szCs w:val="20"/>
        </w:rPr>
        <w:t xml:space="preserve">, the housing package does include funding for housing and planning, but the majority of the bills require substantial new requirements on local governments when approving housing development – the “streamlining” portion of the package is once again all new city and county mandates. </w:t>
      </w:r>
      <w:r w:rsidR="0092395B">
        <w:rPr>
          <w:rFonts w:ascii="Arial" w:eastAsia="MS Mincho" w:hAnsi="Arial" w:cs="Arial"/>
          <w:sz w:val="20"/>
          <w:szCs w:val="20"/>
        </w:rPr>
        <w:t>Many of the streamlin</w:t>
      </w:r>
      <w:r w:rsidR="003C3143">
        <w:rPr>
          <w:rFonts w:ascii="Arial" w:eastAsia="MS Mincho" w:hAnsi="Arial" w:cs="Arial"/>
          <w:sz w:val="20"/>
          <w:szCs w:val="20"/>
        </w:rPr>
        <w:t>in</w:t>
      </w:r>
      <w:r w:rsidR="0092395B">
        <w:rPr>
          <w:rFonts w:ascii="Arial" w:eastAsia="MS Mincho" w:hAnsi="Arial" w:cs="Arial"/>
          <w:sz w:val="20"/>
          <w:szCs w:val="20"/>
        </w:rPr>
        <w:t xml:space="preserve">g bills are substantially less onerous than introduced, </w:t>
      </w:r>
      <w:r w:rsidR="003C3143">
        <w:rPr>
          <w:rFonts w:ascii="Arial" w:eastAsia="MS Mincho" w:hAnsi="Arial" w:cs="Arial"/>
          <w:sz w:val="20"/>
          <w:szCs w:val="20"/>
        </w:rPr>
        <w:t>a</w:t>
      </w:r>
      <w:r w:rsidR="00FD5423">
        <w:rPr>
          <w:rFonts w:ascii="Arial" w:eastAsia="MS Mincho" w:hAnsi="Arial" w:cs="Arial"/>
          <w:sz w:val="20"/>
          <w:szCs w:val="20"/>
        </w:rPr>
        <w:t xml:space="preserve"> good number as a result of APA-</w:t>
      </w:r>
      <w:r w:rsidR="003C3143">
        <w:rPr>
          <w:rFonts w:ascii="Arial" w:eastAsia="MS Mincho" w:hAnsi="Arial" w:cs="Arial"/>
          <w:sz w:val="20"/>
          <w:szCs w:val="20"/>
        </w:rPr>
        <w:t xml:space="preserve">suggested amendments inserted in these measures.  But -- </w:t>
      </w:r>
      <w:r w:rsidR="0092395B">
        <w:rPr>
          <w:rFonts w:ascii="Arial" w:eastAsia="MS Mincho" w:hAnsi="Arial" w:cs="Arial"/>
          <w:sz w:val="20"/>
          <w:szCs w:val="20"/>
        </w:rPr>
        <w:t xml:space="preserve">many of those bills </w:t>
      </w:r>
      <w:r w:rsidR="00F0625D">
        <w:rPr>
          <w:rFonts w:ascii="Arial" w:eastAsia="MS Mincho" w:hAnsi="Arial" w:cs="Arial"/>
          <w:sz w:val="20"/>
          <w:szCs w:val="20"/>
        </w:rPr>
        <w:t xml:space="preserve">have received last-minute amendments or </w:t>
      </w:r>
      <w:r w:rsidR="003C3143">
        <w:rPr>
          <w:rFonts w:ascii="Arial" w:eastAsia="MS Mincho" w:hAnsi="Arial" w:cs="Arial"/>
          <w:sz w:val="20"/>
          <w:szCs w:val="20"/>
        </w:rPr>
        <w:t xml:space="preserve">continue to </w:t>
      </w:r>
      <w:r w:rsidR="0092395B">
        <w:rPr>
          <w:rFonts w:ascii="Arial" w:eastAsia="MS Mincho" w:hAnsi="Arial" w:cs="Arial"/>
          <w:sz w:val="20"/>
          <w:szCs w:val="20"/>
        </w:rPr>
        <w:t>contain</w:t>
      </w:r>
      <w:r w:rsidR="003C3143">
        <w:rPr>
          <w:rFonts w:ascii="Arial" w:eastAsia="MS Mincho" w:hAnsi="Arial" w:cs="Arial"/>
          <w:sz w:val="20"/>
          <w:szCs w:val="20"/>
        </w:rPr>
        <w:t xml:space="preserve"> vague new </w:t>
      </w:r>
      <w:r w:rsidR="0092395B">
        <w:rPr>
          <w:rFonts w:ascii="Arial" w:eastAsia="MS Mincho" w:hAnsi="Arial" w:cs="Arial"/>
          <w:sz w:val="20"/>
          <w:szCs w:val="20"/>
        </w:rPr>
        <w:t>requirements, new terms and processes that conflict with existing planning laws</w:t>
      </w:r>
      <w:r w:rsidR="003C3143">
        <w:rPr>
          <w:rFonts w:ascii="Arial" w:eastAsia="MS Mincho" w:hAnsi="Arial" w:cs="Arial"/>
          <w:sz w:val="20"/>
          <w:szCs w:val="20"/>
        </w:rPr>
        <w:t xml:space="preserve"> or make local housing approvals and housing element law more difficult to implement</w:t>
      </w:r>
      <w:r w:rsidR="0092395B">
        <w:rPr>
          <w:rFonts w:ascii="Arial" w:eastAsia="MS Mincho" w:hAnsi="Arial" w:cs="Arial"/>
          <w:sz w:val="20"/>
          <w:szCs w:val="20"/>
        </w:rPr>
        <w:t xml:space="preserve">, and detailed new </w:t>
      </w:r>
      <w:r w:rsidR="003C3143">
        <w:rPr>
          <w:rFonts w:ascii="Arial" w:eastAsia="MS Mincho" w:hAnsi="Arial" w:cs="Arial"/>
          <w:sz w:val="20"/>
          <w:szCs w:val="20"/>
        </w:rPr>
        <w:t>requirements</w:t>
      </w:r>
      <w:r w:rsidR="0092395B">
        <w:rPr>
          <w:rFonts w:ascii="Arial" w:eastAsia="MS Mincho" w:hAnsi="Arial" w:cs="Arial"/>
          <w:sz w:val="20"/>
          <w:szCs w:val="20"/>
        </w:rPr>
        <w:t xml:space="preserve"> that will not result in any new housing but will add substantially to local</w:t>
      </w:r>
      <w:r w:rsidR="003C3143">
        <w:rPr>
          <w:rFonts w:ascii="Arial" w:eastAsia="MS Mincho" w:hAnsi="Arial" w:cs="Arial"/>
          <w:sz w:val="20"/>
          <w:szCs w:val="20"/>
        </w:rPr>
        <w:t xml:space="preserve"> reporting mandates.</w:t>
      </w:r>
    </w:p>
    <w:p w14:paraId="33D7448E" w14:textId="77777777" w:rsidR="002C087F" w:rsidRDefault="002C087F" w:rsidP="001E40D2">
      <w:pPr>
        <w:widowControl w:val="0"/>
        <w:tabs>
          <w:tab w:val="left" w:pos="220"/>
          <w:tab w:val="left" w:pos="720"/>
          <w:tab w:val="left" w:pos="2427"/>
        </w:tabs>
        <w:autoSpaceDE w:val="0"/>
        <w:autoSpaceDN w:val="0"/>
        <w:adjustRightInd w:val="0"/>
        <w:jc w:val="both"/>
        <w:rPr>
          <w:rFonts w:ascii="Arial" w:eastAsia="MS Mincho" w:hAnsi="Arial" w:cs="Arial"/>
          <w:sz w:val="20"/>
          <w:szCs w:val="20"/>
        </w:rPr>
      </w:pPr>
    </w:p>
    <w:p w14:paraId="6DC29FD2" w14:textId="03271F45" w:rsidR="000F6AA1" w:rsidRPr="004143A8" w:rsidRDefault="000F6AA1" w:rsidP="00D11FC1">
      <w:pPr>
        <w:jc w:val="both"/>
        <w:rPr>
          <w:rFonts w:ascii="Arial" w:eastAsia="MS Mincho" w:hAnsi="Arial" w:cs="Arial"/>
          <w:b/>
          <w:sz w:val="20"/>
          <w:szCs w:val="20"/>
          <w:u w:val="single"/>
        </w:rPr>
      </w:pPr>
      <w:r w:rsidRPr="00593E93">
        <w:rPr>
          <w:rFonts w:ascii="Arial" w:eastAsia="MS Mincho" w:hAnsi="Arial" w:cs="Arial"/>
          <w:b/>
          <w:sz w:val="20"/>
          <w:szCs w:val="20"/>
          <w:highlight w:val="yellow"/>
          <w:u w:val="single"/>
        </w:rPr>
        <w:t>Last Minute SB 35 Amendments</w:t>
      </w:r>
      <w:r w:rsidR="004143A8" w:rsidRPr="00593E93">
        <w:rPr>
          <w:rFonts w:ascii="Arial" w:eastAsia="MS Mincho" w:hAnsi="Arial" w:cs="Arial"/>
          <w:b/>
          <w:sz w:val="20"/>
          <w:szCs w:val="20"/>
          <w:highlight w:val="yellow"/>
          <w:u w:val="single"/>
        </w:rPr>
        <w:t xml:space="preserve"> Upend</w:t>
      </w:r>
      <w:r w:rsidRPr="00593E93">
        <w:rPr>
          <w:rFonts w:ascii="Arial" w:eastAsia="MS Mincho" w:hAnsi="Arial" w:cs="Arial"/>
          <w:b/>
          <w:sz w:val="20"/>
          <w:szCs w:val="20"/>
          <w:highlight w:val="yellow"/>
          <w:u w:val="single"/>
        </w:rPr>
        <w:t xml:space="preserve"> General Plan and Zoning Law</w:t>
      </w:r>
    </w:p>
    <w:p w14:paraId="5E7A3964" w14:textId="77777777" w:rsidR="000F6AA1" w:rsidRDefault="000F6AA1" w:rsidP="00D11FC1">
      <w:pPr>
        <w:jc w:val="both"/>
        <w:rPr>
          <w:rFonts w:ascii="Arial" w:eastAsia="MS Mincho" w:hAnsi="Arial" w:cs="Arial"/>
          <w:sz w:val="20"/>
          <w:szCs w:val="20"/>
        </w:rPr>
      </w:pPr>
    </w:p>
    <w:p w14:paraId="464A8E2F" w14:textId="3FEEA05E" w:rsidR="007C22E0" w:rsidRPr="000F6AA1" w:rsidRDefault="000F6AA1" w:rsidP="00D11FC1">
      <w:pPr>
        <w:jc w:val="both"/>
        <w:rPr>
          <w:rFonts w:ascii="Arial" w:eastAsia="MS Mincho" w:hAnsi="Arial" w:cs="Arial"/>
          <w:sz w:val="20"/>
          <w:szCs w:val="20"/>
        </w:rPr>
      </w:pPr>
      <w:r>
        <w:rPr>
          <w:rFonts w:ascii="Arial" w:eastAsia="MS Mincho" w:hAnsi="Arial" w:cs="Arial"/>
          <w:sz w:val="20"/>
          <w:szCs w:val="20"/>
        </w:rPr>
        <w:t>SB 35, which would provide a new d</w:t>
      </w:r>
      <w:r w:rsidR="00FD5423">
        <w:rPr>
          <w:rFonts w:ascii="Arial" w:eastAsia="MS Mincho" w:hAnsi="Arial" w:cs="Arial"/>
          <w:sz w:val="20"/>
          <w:szCs w:val="20"/>
        </w:rPr>
        <w:t>eveloper-</w:t>
      </w:r>
      <w:r>
        <w:rPr>
          <w:rFonts w:ascii="Arial" w:eastAsia="MS Mincho" w:hAnsi="Arial" w:cs="Arial"/>
          <w:sz w:val="20"/>
          <w:szCs w:val="20"/>
        </w:rPr>
        <w:t xml:space="preserve">option for ministerial approval </w:t>
      </w:r>
      <w:r w:rsidR="00FD5423">
        <w:rPr>
          <w:rFonts w:ascii="Arial" w:eastAsia="MS Mincho" w:hAnsi="Arial" w:cs="Arial"/>
          <w:sz w:val="20"/>
          <w:szCs w:val="20"/>
        </w:rPr>
        <w:t>of</w:t>
      </w:r>
      <w:r>
        <w:rPr>
          <w:rFonts w:ascii="Arial" w:eastAsia="MS Mincho" w:hAnsi="Arial" w:cs="Arial"/>
          <w:sz w:val="20"/>
          <w:szCs w:val="20"/>
        </w:rPr>
        <w:t xml:space="preserve"> h</w:t>
      </w:r>
      <w:r w:rsidR="004143A8">
        <w:rPr>
          <w:rFonts w:ascii="Arial" w:eastAsia="MS Mincho" w:hAnsi="Arial" w:cs="Arial"/>
          <w:sz w:val="20"/>
          <w:szCs w:val="20"/>
        </w:rPr>
        <w:t>ousing b</w:t>
      </w:r>
      <w:r>
        <w:rPr>
          <w:rFonts w:ascii="Arial" w:eastAsia="MS Mincho" w:hAnsi="Arial" w:cs="Arial"/>
          <w:sz w:val="20"/>
          <w:szCs w:val="20"/>
        </w:rPr>
        <w:t>ased on RHNA</w:t>
      </w:r>
      <w:r w:rsidR="00FD5423">
        <w:rPr>
          <w:rFonts w:ascii="Arial" w:eastAsia="MS Mincho" w:hAnsi="Arial" w:cs="Arial"/>
          <w:sz w:val="20"/>
          <w:szCs w:val="20"/>
        </w:rPr>
        <w:t xml:space="preserve"> “compliance”</w:t>
      </w:r>
      <w:r>
        <w:rPr>
          <w:rFonts w:ascii="Arial" w:eastAsia="MS Mincho" w:hAnsi="Arial" w:cs="Arial"/>
          <w:sz w:val="20"/>
          <w:szCs w:val="20"/>
        </w:rPr>
        <w:t xml:space="preserve">, is an </w:t>
      </w:r>
      <w:r w:rsidR="002C087F">
        <w:rPr>
          <w:rFonts w:ascii="Arial" w:eastAsia="MS Mincho" w:hAnsi="Arial" w:cs="Arial"/>
          <w:sz w:val="20"/>
          <w:szCs w:val="20"/>
        </w:rPr>
        <w:t xml:space="preserve">example of </w:t>
      </w:r>
      <w:r w:rsidR="007C22E0">
        <w:rPr>
          <w:rFonts w:ascii="Arial" w:eastAsia="MS Mincho" w:hAnsi="Arial" w:cs="Arial"/>
          <w:sz w:val="20"/>
          <w:szCs w:val="20"/>
        </w:rPr>
        <w:t xml:space="preserve">both unbalanced and </w:t>
      </w:r>
      <w:r w:rsidR="002C087F">
        <w:rPr>
          <w:rFonts w:ascii="Arial" w:eastAsia="MS Mincho" w:hAnsi="Arial" w:cs="Arial"/>
          <w:sz w:val="20"/>
          <w:szCs w:val="20"/>
        </w:rPr>
        <w:t>last-minute amendments</w:t>
      </w:r>
      <w:r w:rsidR="004143A8">
        <w:rPr>
          <w:rFonts w:ascii="Arial" w:eastAsia="MS Mincho" w:hAnsi="Arial" w:cs="Arial"/>
          <w:sz w:val="20"/>
          <w:szCs w:val="20"/>
        </w:rPr>
        <w:t xml:space="preserve"> that have found their way into these housing measures.  A</w:t>
      </w:r>
      <w:r w:rsidR="007C22E0">
        <w:rPr>
          <w:rFonts w:ascii="Arial" w:eastAsia="MS Mincho" w:hAnsi="Arial" w:cs="Arial"/>
          <w:sz w:val="20"/>
          <w:szCs w:val="20"/>
        </w:rPr>
        <w:t>uthored by Senator Wiener from San Francisco</w:t>
      </w:r>
      <w:r w:rsidR="004143A8">
        <w:rPr>
          <w:rFonts w:ascii="Arial" w:eastAsia="MS Mincho" w:hAnsi="Arial" w:cs="Arial"/>
          <w:sz w:val="20"/>
          <w:szCs w:val="20"/>
        </w:rPr>
        <w:t>, APA has a support if amended position on the bill</w:t>
      </w:r>
      <w:r w:rsidR="007C22E0">
        <w:rPr>
          <w:rFonts w:ascii="Arial" w:eastAsia="MS Mincho" w:hAnsi="Arial" w:cs="Arial"/>
          <w:sz w:val="20"/>
          <w:szCs w:val="20"/>
        </w:rPr>
        <w:t xml:space="preserve">.  </w:t>
      </w:r>
      <w:r w:rsidR="004143A8">
        <w:rPr>
          <w:rFonts w:ascii="Arial" w:eastAsia="MS Mincho" w:hAnsi="Arial" w:cs="Arial"/>
          <w:sz w:val="20"/>
          <w:szCs w:val="20"/>
        </w:rPr>
        <w:t xml:space="preserve">It is currently in the Assembly Rules Committee, and is expected to be a key bill in the Governor’s streamlining portion of the housing package.  </w:t>
      </w:r>
      <w:r w:rsidR="004143A8">
        <w:rPr>
          <w:rFonts w:ascii="Arial" w:hAnsi="Arial" w:cs="Arial"/>
          <w:color w:val="000000"/>
          <w:sz w:val="20"/>
          <w:szCs w:val="20"/>
        </w:rPr>
        <w:t>It</w:t>
      </w:r>
      <w:r w:rsidR="007C22E0" w:rsidRPr="007C22E0">
        <w:rPr>
          <w:rFonts w:ascii="Arial" w:hAnsi="Arial" w:cs="Arial"/>
          <w:color w:val="000000"/>
          <w:sz w:val="20"/>
          <w:szCs w:val="20"/>
        </w:rPr>
        <w:t xml:space="preserve"> requires cities and counties to offer to developers a new ministerial approval process for developments that meet certain conditions, including inclusionary units and prevailing wage, if a local agency does not “meet” its RHNA by income level.  The bill also adds new requirements to the annual report, including the numbe</w:t>
      </w:r>
      <w:r w:rsidR="004143A8">
        <w:rPr>
          <w:rFonts w:ascii="Arial" w:hAnsi="Arial" w:cs="Arial"/>
          <w:color w:val="000000"/>
          <w:sz w:val="20"/>
          <w:szCs w:val="20"/>
        </w:rPr>
        <w:t>r of units entitled. Although APA is</w:t>
      </w:r>
      <w:r w:rsidR="007C22E0" w:rsidRPr="007C22E0">
        <w:rPr>
          <w:rFonts w:ascii="Arial" w:hAnsi="Arial" w:cs="Arial"/>
          <w:color w:val="000000"/>
          <w:sz w:val="20"/>
          <w:szCs w:val="20"/>
        </w:rPr>
        <w:t xml:space="preserve"> supportive of streamlined housing approvals, </w:t>
      </w:r>
      <w:r w:rsidR="004143A8">
        <w:rPr>
          <w:rFonts w:ascii="Arial" w:hAnsi="Arial" w:cs="Arial"/>
          <w:color w:val="000000"/>
          <w:sz w:val="20"/>
          <w:szCs w:val="20"/>
        </w:rPr>
        <w:t>the bill must be amended</w:t>
      </w:r>
      <w:r w:rsidR="007C22E0" w:rsidRPr="007C22E0">
        <w:rPr>
          <w:rFonts w:ascii="Arial" w:hAnsi="Arial" w:cs="Arial"/>
          <w:color w:val="000000"/>
          <w:sz w:val="20"/>
          <w:szCs w:val="20"/>
        </w:rPr>
        <w:t xml:space="preserve"> to allow for a fair and reasonable process.</w:t>
      </w:r>
      <w:r w:rsidR="007C22E0">
        <w:rPr>
          <w:rFonts w:ascii="Arial" w:hAnsi="Arial" w:cs="Arial"/>
          <w:color w:val="000000"/>
          <w:sz w:val="20"/>
          <w:szCs w:val="20"/>
        </w:rPr>
        <w:t xml:space="preserve"> </w:t>
      </w:r>
      <w:r w:rsidR="007C22E0" w:rsidRPr="00A32613">
        <w:rPr>
          <w:rFonts w:ascii="Arial" w:hAnsi="Arial" w:cs="Arial"/>
          <w:b/>
          <w:i/>
          <w:color w:val="000000"/>
          <w:sz w:val="20"/>
          <w:szCs w:val="20"/>
        </w:rPr>
        <w:t>Please contact Senator Wiener’s office and your Senator and Assembly</w:t>
      </w:r>
      <w:r w:rsidR="004143A8">
        <w:rPr>
          <w:rFonts w:ascii="Arial" w:hAnsi="Arial" w:cs="Arial"/>
          <w:b/>
          <w:i/>
          <w:color w:val="000000"/>
          <w:sz w:val="20"/>
          <w:szCs w:val="20"/>
        </w:rPr>
        <w:t xml:space="preserve"> M</w:t>
      </w:r>
      <w:r w:rsidR="007C22E0" w:rsidRPr="00A32613">
        <w:rPr>
          <w:rFonts w:ascii="Arial" w:hAnsi="Arial" w:cs="Arial"/>
          <w:b/>
          <w:i/>
          <w:color w:val="000000"/>
          <w:sz w:val="20"/>
          <w:szCs w:val="20"/>
        </w:rPr>
        <w:t>ember in support of APA’s suggested</w:t>
      </w:r>
      <w:r w:rsidR="00A32613" w:rsidRPr="00A32613">
        <w:rPr>
          <w:rFonts w:ascii="Arial" w:hAnsi="Arial" w:cs="Arial"/>
          <w:b/>
          <w:i/>
          <w:color w:val="000000"/>
          <w:sz w:val="20"/>
          <w:szCs w:val="20"/>
        </w:rPr>
        <w:t xml:space="preserve"> amendments below:</w:t>
      </w:r>
    </w:p>
    <w:p w14:paraId="353D6988" w14:textId="77777777" w:rsidR="007C22E0" w:rsidRPr="007C22E0" w:rsidRDefault="007C22E0" w:rsidP="00D11FC1">
      <w:pPr>
        <w:jc w:val="both"/>
        <w:rPr>
          <w:rFonts w:ascii="Arial" w:hAnsi="Arial" w:cs="Arial"/>
          <w:color w:val="000000"/>
          <w:sz w:val="20"/>
          <w:szCs w:val="20"/>
        </w:rPr>
      </w:pPr>
      <w:r w:rsidRPr="007C22E0">
        <w:rPr>
          <w:rFonts w:ascii="Arial" w:hAnsi="Arial" w:cs="Arial"/>
          <w:b/>
          <w:bCs/>
          <w:color w:val="000000"/>
          <w:sz w:val="20"/>
          <w:szCs w:val="20"/>
        </w:rPr>
        <w:t> </w:t>
      </w:r>
    </w:p>
    <w:p w14:paraId="100652B0" w14:textId="28610973"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u w:val="single"/>
        </w:rPr>
        <w:t>TRIGGER FOR MINISTERIAL REVIEW BASED ON ACTIONS BEYOND CITY OR COUNTY CONTROL:</w:t>
      </w:r>
      <w:r w:rsidR="00A32613" w:rsidRPr="004143A8">
        <w:rPr>
          <w:rFonts w:ascii="Arial" w:hAnsi="Arial" w:cs="Arial"/>
          <w:b/>
          <w:bCs/>
          <w:color w:val="000000"/>
          <w:sz w:val="18"/>
          <w:szCs w:val="18"/>
          <w:u w:val="single"/>
        </w:rPr>
        <w:t xml:space="preserve"> </w:t>
      </w:r>
      <w:r w:rsidR="00A32613" w:rsidRPr="004143A8">
        <w:rPr>
          <w:rFonts w:ascii="Arial" w:hAnsi="Arial" w:cs="Arial"/>
          <w:color w:val="000000"/>
          <w:sz w:val="18"/>
          <w:szCs w:val="18"/>
        </w:rPr>
        <w:t>SB 35 u</w:t>
      </w:r>
      <w:r w:rsidRPr="004143A8">
        <w:rPr>
          <w:rFonts w:ascii="Arial" w:hAnsi="Arial" w:cs="Arial"/>
          <w:color w:val="000000"/>
          <w:sz w:val="18"/>
          <w:szCs w:val="18"/>
        </w:rPr>
        <w:t xml:space="preserve">nfortunately imposes consequences on a city or county based on actions beyond their control and that can only be completed by the developer.  </w:t>
      </w:r>
      <w:r w:rsidRPr="004143A8">
        <w:rPr>
          <w:rFonts w:ascii="Arial" w:hAnsi="Arial" w:cs="Arial"/>
          <w:b/>
          <w:color w:val="000000"/>
          <w:sz w:val="18"/>
          <w:szCs w:val="18"/>
        </w:rPr>
        <w:t>The trigger for the ministerial approval process should be based on the number of entitled and approved</w:t>
      </w:r>
      <w:r w:rsidR="00A32613" w:rsidRPr="004143A8">
        <w:rPr>
          <w:rFonts w:ascii="Arial" w:hAnsi="Arial" w:cs="Arial"/>
          <w:b/>
          <w:color w:val="000000"/>
          <w:sz w:val="18"/>
          <w:szCs w:val="18"/>
        </w:rPr>
        <w:t xml:space="preserve"> applications, a process that local agencies control</w:t>
      </w:r>
      <w:r w:rsidRPr="004143A8">
        <w:rPr>
          <w:rFonts w:ascii="Arial" w:hAnsi="Arial" w:cs="Arial"/>
          <w:b/>
          <w:color w:val="000000"/>
          <w:sz w:val="18"/>
          <w:szCs w:val="18"/>
        </w:rPr>
        <w:t>, rather than building permits, which developers will not pull until they are ready to construct a project entitled by a local government. </w:t>
      </w:r>
      <w:r w:rsidRPr="004143A8">
        <w:rPr>
          <w:rFonts w:ascii="Arial" w:hAnsi="Arial" w:cs="Arial"/>
          <w:color w:val="000000"/>
          <w:sz w:val="18"/>
          <w:szCs w:val="18"/>
        </w:rPr>
        <w:t xml:space="preserve"> A local government can’t turn down a building permit</w:t>
      </w:r>
      <w:r w:rsidR="00A32613" w:rsidRPr="004143A8">
        <w:rPr>
          <w:rFonts w:ascii="Arial" w:hAnsi="Arial" w:cs="Arial"/>
          <w:color w:val="000000"/>
          <w:sz w:val="18"/>
          <w:szCs w:val="18"/>
        </w:rPr>
        <w:t xml:space="preserve"> except under extremely limited circumstances</w:t>
      </w:r>
      <w:r w:rsidRPr="004143A8">
        <w:rPr>
          <w:rFonts w:ascii="Arial" w:hAnsi="Arial" w:cs="Arial"/>
          <w:color w:val="000000"/>
          <w:sz w:val="18"/>
          <w:szCs w:val="18"/>
        </w:rPr>
        <w:t>. This puts the consequences on the local agency even though they can’t control the reason for those consequences.</w:t>
      </w:r>
    </w:p>
    <w:p w14:paraId="5D9ED9F7" w14:textId="77777777"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rPr>
        <w:t> </w:t>
      </w:r>
    </w:p>
    <w:p w14:paraId="321CC321" w14:textId="549641F1"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u w:val="single"/>
        </w:rPr>
        <w:t>NEW AMENDMENTS OVERTURN ZONING LAW:</w:t>
      </w:r>
      <w:r w:rsidRPr="004143A8">
        <w:rPr>
          <w:rStyle w:val="apple-converted-space"/>
          <w:rFonts w:ascii="Arial" w:hAnsi="Arial" w:cs="Arial"/>
          <w:color w:val="000000"/>
          <w:sz w:val="18"/>
          <w:szCs w:val="18"/>
        </w:rPr>
        <w:t> </w:t>
      </w:r>
      <w:r w:rsidRPr="004143A8">
        <w:rPr>
          <w:rFonts w:ascii="Arial" w:hAnsi="Arial" w:cs="Arial"/>
          <w:color w:val="000000"/>
          <w:sz w:val="18"/>
          <w:szCs w:val="18"/>
        </w:rPr>
        <w:t>New language added to the bill, although designed to re</w:t>
      </w:r>
      <w:r w:rsidR="00F0625D">
        <w:rPr>
          <w:rFonts w:ascii="Arial" w:hAnsi="Arial" w:cs="Arial"/>
          <w:color w:val="000000"/>
          <w:sz w:val="18"/>
          <w:szCs w:val="18"/>
        </w:rPr>
        <w:t>-</w:t>
      </w:r>
      <w:r w:rsidRPr="004143A8">
        <w:rPr>
          <w:rFonts w:ascii="Arial" w:hAnsi="Arial" w:cs="Arial"/>
          <w:color w:val="000000"/>
          <w:sz w:val="18"/>
          <w:szCs w:val="18"/>
        </w:rPr>
        <w:t xml:space="preserve">state existing law, instead completely changes existing zoning law by allowing either the General Plan </w:t>
      </w:r>
      <w:r w:rsidRPr="00F0625D">
        <w:rPr>
          <w:rFonts w:ascii="Arial" w:hAnsi="Arial" w:cs="Arial"/>
          <w:color w:val="000000"/>
          <w:sz w:val="18"/>
          <w:szCs w:val="18"/>
          <w:u w:val="single"/>
        </w:rPr>
        <w:t>or</w:t>
      </w:r>
      <w:r w:rsidRPr="004143A8">
        <w:rPr>
          <w:rFonts w:ascii="Arial" w:hAnsi="Arial" w:cs="Arial"/>
          <w:color w:val="000000"/>
          <w:sz w:val="18"/>
          <w:szCs w:val="18"/>
        </w:rPr>
        <w:t xml:space="preserve"> zoning to apply to sites, mixing in design standards, and using terms and concepts that are vague and inconsistent with existing Housing Element and Density Bonus law, and the Housing Accountability Act. It’s one thing if the zoning is inconsistent because (for instance) it has not been updated to reflect the General Plan, in which case the General Plan does and should control – that is existing law.  But if the standards have been updated and are actively designed to implement the General Plan, this bill should not require local agencies to ignore zoning just because someone deems those zoning standards are somehow “inconsistent” or not “compliant” – a new term - with the plan. “Inconsistent” as meant in existing law does not mean “the same”. The bill must be amended to fix these sections so they are not in conflict with existing law governing zoning, density bonuses, and Housing Element site requirements, while still keeping the goals of the new language.  Those amendments are below:</w:t>
      </w:r>
    </w:p>
    <w:p w14:paraId="2DB43B5F" w14:textId="77777777" w:rsidR="00A32613" w:rsidRPr="004143A8" w:rsidRDefault="00A32613" w:rsidP="00D11FC1">
      <w:pPr>
        <w:jc w:val="both"/>
        <w:rPr>
          <w:rFonts w:ascii="Arial" w:hAnsi="Arial" w:cs="Arial"/>
          <w:b/>
          <w:bCs/>
          <w:color w:val="000000"/>
          <w:sz w:val="18"/>
          <w:szCs w:val="18"/>
          <w:u w:val="single"/>
        </w:rPr>
      </w:pPr>
    </w:p>
    <w:p w14:paraId="1476A022" w14:textId="77777777"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u w:val="single"/>
        </w:rPr>
        <w:t>Amend S. 65913.4 (5)(A) to be consistent with the definition of “maximum allowable residential density” in S. 65915 (o)(2) in the Density Bonus Law.</w:t>
      </w:r>
    </w:p>
    <w:p w14:paraId="1B760544" w14:textId="7085DC85" w:rsidR="007C22E0" w:rsidRPr="004143A8" w:rsidRDefault="007C22E0" w:rsidP="00D11FC1">
      <w:pPr>
        <w:jc w:val="both"/>
        <w:rPr>
          <w:rFonts w:ascii="Arial" w:hAnsi="Arial" w:cs="Arial"/>
          <w:color w:val="000000"/>
          <w:sz w:val="18"/>
          <w:szCs w:val="18"/>
        </w:rPr>
      </w:pPr>
      <w:r w:rsidRPr="004143A8">
        <w:rPr>
          <w:rFonts w:ascii="Arial" w:hAnsi="Arial" w:cs="Arial"/>
          <w:color w:val="000000"/>
          <w:sz w:val="18"/>
          <w:szCs w:val="18"/>
        </w:rPr>
        <w:t>(A) A development shall be deemed consistent with the objective zoning standards related to housing density, as applicable, if the density proposed </w:t>
      </w:r>
      <w:r w:rsidRPr="004143A8">
        <w:rPr>
          <w:rFonts w:ascii="Arial" w:hAnsi="Arial" w:cs="Arial"/>
          <w:strike/>
          <w:color w:val="000000"/>
          <w:sz w:val="18"/>
          <w:szCs w:val="18"/>
        </w:rPr>
        <w:t>is compliant with the maximum density allowed within that land use designation, notwithstanding any specified maximum unit allocation that may result in fewer units of housing being permitted.</w:t>
      </w:r>
      <w:r w:rsidRPr="004143A8">
        <w:rPr>
          <w:rFonts w:ascii="Arial" w:hAnsi="Arial" w:cs="Arial"/>
          <w:i/>
          <w:iCs/>
          <w:color w:val="000000"/>
          <w:sz w:val="18"/>
          <w:szCs w:val="18"/>
        </w:rPr>
        <w:t> </w:t>
      </w:r>
      <w:r w:rsidRPr="004143A8">
        <w:rPr>
          <w:rFonts w:ascii="Arial" w:hAnsi="Arial" w:cs="Arial"/>
          <w:i/>
          <w:iCs/>
          <w:color w:val="000000"/>
          <w:sz w:val="18"/>
          <w:szCs w:val="18"/>
          <w:u w:val="single"/>
        </w:rPr>
        <w:t>does not exceed the maximum allowable residential density.  "Maximum allowable residential density" means the density allowed under the zoning ordinance, or, if</w:t>
      </w:r>
      <w:r w:rsidRPr="004143A8">
        <w:rPr>
          <w:rFonts w:ascii="Arial" w:hAnsi="Arial" w:cs="Arial"/>
          <w:b/>
          <w:bCs/>
          <w:i/>
          <w:iCs/>
          <w:color w:val="000000"/>
          <w:sz w:val="18"/>
          <w:szCs w:val="18"/>
          <w:u w:val="single"/>
        </w:rPr>
        <w:t> </w:t>
      </w:r>
      <w:r w:rsidRPr="004143A8">
        <w:rPr>
          <w:rFonts w:ascii="Arial" w:hAnsi="Arial" w:cs="Arial"/>
          <w:i/>
          <w:iCs/>
          <w:color w:val="000000"/>
          <w:sz w:val="18"/>
          <w:szCs w:val="18"/>
          <w:u w:val="single"/>
        </w:rPr>
        <w:t>the density allowed under the zoning ordinance is inconsistent with the general plan, the general plan density applicable to the project. For the purpose of this subsection, the “general plan density applicable to the project” means the greater of the density allowed in the land use element or specified in the housing element of the general plan.</w:t>
      </w:r>
    </w:p>
    <w:p w14:paraId="19B4C272" w14:textId="77777777"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rPr>
        <w:t> </w:t>
      </w:r>
    </w:p>
    <w:p w14:paraId="4694407E" w14:textId="77777777"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u w:val="single"/>
        </w:rPr>
        <w:t>Amend S. 65913.</w:t>
      </w:r>
      <w:r w:rsidRPr="004143A8">
        <w:rPr>
          <w:rFonts w:ascii="Arial" w:hAnsi="Arial" w:cs="Arial"/>
          <w:color w:val="000000"/>
          <w:sz w:val="18"/>
          <w:szCs w:val="18"/>
          <w:u w:val="single"/>
        </w:rPr>
        <w:t>4 (5)</w:t>
      </w:r>
      <w:r w:rsidRPr="004143A8">
        <w:rPr>
          <w:rFonts w:ascii="Arial" w:hAnsi="Arial" w:cs="Arial"/>
          <w:b/>
          <w:bCs/>
          <w:color w:val="000000"/>
          <w:sz w:val="18"/>
          <w:szCs w:val="18"/>
          <w:u w:val="single"/>
        </w:rPr>
        <w:t>(B) to be consistent with the Housing Accountability Act S. 65589.5 (d)(5)(A) and Housing Element law.</w:t>
      </w:r>
    </w:p>
    <w:p w14:paraId="407AFAA4" w14:textId="77777777" w:rsidR="007C22E0" w:rsidRPr="004143A8" w:rsidRDefault="007C22E0" w:rsidP="00D11FC1">
      <w:pPr>
        <w:jc w:val="both"/>
        <w:rPr>
          <w:rFonts w:ascii="Arial" w:hAnsi="Arial" w:cs="Arial"/>
          <w:color w:val="000000"/>
          <w:sz w:val="18"/>
          <w:szCs w:val="18"/>
        </w:rPr>
      </w:pPr>
      <w:r w:rsidRPr="004143A8">
        <w:rPr>
          <w:rFonts w:ascii="Arial" w:hAnsi="Arial" w:cs="Arial"/>
          <w:i/>
          <w:iCs/>
          <w:color w:val="000000"/>
          <w:sz w:val="18"/>
          <w:szCs w:val="18"/>
        </w:rPr>
        <w:t>(</w:t>
      </w:r>
      <w:r w:rsidRPr="004143A8">
        <w:rPr>
          <w:rFonts w:ascii="Arial" w:hAnsi="Arial" w:cs="Arial"/>
          <w:i/>
          <w:iCs/>
          <w:strike/>
          <w:color w:val="000000"/>
          <w:sz w:val="18"/>
          <w:szCs w:val="18"/>
        </w:rPr>
        <w:t>B) In the event that objective zoning, general plan, or design review standards are mutually inconsistent, a development shall be deemed consistent with the objective zoning standards pursuant to this subdivision if the development is consistent with the standards set forth in the general plan.</w:t>
      </w:r>
    </w:p>
    <w:p w14:paraId="48EE2963" w14:textId="77777777" w:rsidR="007C22E0" w:rsidRPr="004143A8" w:rsidRDefault="007C22E0" w:rsidP="00D11FC1">
      <w:pPr>
        <w:jc w:val="both"/>
        <w:rPr>
          <w:rFonts w:ascii="Arial" w:hAnsi="Arial" w:cs="Arial"/>
          <w:color w:val="000000"/>
          <w:sz w:val="18"/>
          <w:szCs w:val="18"/>
        </w:rPr>
      </w:pPr>
      <w:r w:rsidRPr="004143A8">
        <w:rPr>
          <w:rFonts w:ascii="Arial" w:hAnsi="Arial" w:cs="Arial"/>
          <w:i/>
          <w:iCs/>
          <w:color w:val="000000"/>
          <w:sz w:val="18"/>
          <w:szCs w:val="18"/>
          <w:u w:val="single"/>
        </w:rPr>
        <w:t>(B) In the event that zoning for a proposed development site is not consistent with the general plan, a development shall be deemed consistent with the objective zoning standards</w:t>
      </w:r>
      <w:r w:rsidRPr="004143A8">
        <w:rPr>
          <w:rFonts w:ascii="Arial" w:hAnsi="Arial" w:cs="Arial"/>
          <w:b/>
          <w:bCs/>
          <w:i/>
          <w:iCs/>
          <w:color w:val="000000"/>
          <w:sz w:val="18"/>
          <w:szCs w:val="18"/>
          <w:u w:val="single"/>
        </w:rPr>
        <w:t> </w:t>
      </w:r>
      <w:r w:rsidRPr="004143A8">
        <w:rPr>
          <w:rFonts w:ascii="Arial" w:hAnsi="Arial" w:cs="Arial"/>
          <w:i/>
          <w:iCs/>
          <w:color w:val="000000"/>
          <w:sz w:val="18"/>
          <w:szCs w:val="18"/>
          <w:u w:val="single"/>
        </w:rPr>
        <w:t>related to housing density pursuant to this subdivision if the density of the proposed development is consistent with the density specified in the housing element, even though it is inconsistent with both the jurisdiction’s zoning ordinance and general plan land use designation.</w:t>
      </w:r>
    </w:p>
    <w:p w14:paraId="73B6A390" w14:textId="77777777"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rPr>
        <w:t> </w:t>
      </w:r>
    </w:p>
    <w:p w14:paraId="40ADBB08" w14:textId="77777777" w:rsidR="007C22E0" w:rsidRPr="004143A8" w:rsidRDefault="007C22E0" w:rsidP="00D11FC1">
      <w:pPr>
        <w:jc w:val="both"/>
        <w:rPr>
          <w:rFonts w:ascii="Arial" w:hAnsi="Arial" w:cs="Arial"/>
          <w:color w:val="000000"/>
          <w:sz w:val="18"/>
          <w:szCs w:val="18"/>
        </w:rPr>
      </w:pPr>
      <w:r w:rsidRPr="004143A8">
        <w:rPr>
          <w:rFonts w:ascii="Arial" w:hAnsi="Arial" w:cs="Arial"/>
          <w:b/>
          <w:bCs/>
          <w:color w:val="000000"/>
          <w:sz w:val="18"/>
          <w:szCs w:val="18"/>
          <w:u w:val="single"/>
        </w:rPr>
        <w:t>Delete the addition to S. 65913.4 (C) that would allow zoning OR the General Plan designation and make language consistent with above:</w:t>
      </w:r>
    </w:p>
    <w:p w14:paraId="646DB7AD" w14:textId="062DA62A" w:rsidR="002C087F" w:rsidRPr="004143A8" w:rsidRDefault="007C22E0" w:rsidP="00D11FC1">
      <w:pPr>
        <w:jc w:val="both"/>
        <w:rPr>
          <w:rFonts w:ascii="Arial" w:hAnsi="Arial" w:cs="Arial"/>
          <w:color w:val="000000"/>
          <w:sz w:val="18"/>
          <w:szCs w:val="18"/>
        </w:rPr>
      </w:pPr>
      <w:r w:rsidRPr="004143A8">
        <w:rPr>
          <w:rFonts w:ascii="Arial" w:hAnsi="Arial" w:cs="Arial"/>
          <w:color w:val="000000"/>
          <w:sz w:val="18"/>
          <w:szCs w:val="18"/>
        </w:rPr>
        <w:t>(C) A site that is zoned for residential use or residential mixed-use </w:t>
      </w:r>
      <w:r w:rsidRPr="004143A8">
        <w:rPr>
          <w:rFonts w:ascii="Arial" w:hAnsi="Arial" w:cs="Arial"/>
          <w:strike/>
          <w:color w:val="000000"/>
          <w:sz w:val="18"/>
          <w:szCs w:val="18"/>
        </w:rPr>
        <w:t>developmen</w:t>
      </w:r>
      <w:r w:rsidRPr="004143A8">
        <w:rPr>
          <w:rFonts w:ascii="Arial" w:hAnsi="Arial" w:cs="Arial"/>
          <w:color w:val="000000"/>
          <w:sz w:val="18"/>
          <w:szCs w:val="18"/>
        </w:rPr>
        <w:t>t</w:t>
      </w:r>
      <w:r w:rsidRPr="004143A8">
        <w:rPr>
          <w:rFonts w:ascii="Arial" w:hAnsi="Arial" w:cs="Arial"/>
          <w:i/>
          <w:iCs/>
          <w:color w:val="000000"/>
          <w:sz w:val="18"/>
          <w:szCs w:val="18"/>
        </w:rPr>
        <w:t> </w:t>
      </w:r>
      <w:r w:rsidRPr="004143A8">
        <w:rPr>
          <w:rFonts w:ascii="Arial" w:hAnsi="Arial" w:cs="Arial"/>
          <w:i/>
          <w:iCs/>
          <w:color w:val="000000"/>
          <w:sz w:val="18"/>
          <w:szCs w:val="18"/>
          <w:u w:val="single"/>
        </w:rPr>
        <w:t>development, or designated for residential use or residential mixed-use development in the housing element</w:t>
      </w:r>
      <w:r w:rsidRPr="004143A8">
        <w:rPr>
          <w:rFonts w:ascii="Arial" w:hAnsi="Arial" w:cs="Arial"/>
          <w:i/>
          <w:iCs/>
          <w:color w:val="000000"/>
          <w:sz w:val="18"/>
          <w:szCs w:val="18"/>
        </w:rPr>
        <w:t>,</w:t>
      </w:r>
      <w:r w:rsidRPr="004143A8">
        <w:rPr>
          <w:rStyle w:val="apple-converted-space"/>
          <w:rFonts w:ascii="Arial" w:hAnsi="Arial" w:cs="Arial"/>
          <w:i/>
          <w:iCs/>
          <w:color w:val="000000"/>
          <w:sz w:val="18"/>
          <w:szCs w:val="18"/>
        </w:rPr>
        <w:t> </w:t>
      </w:r>
      <w:r w:rsidRPr="004143A8">
        <w:rPr>
          <w:rFonts w:ascii="Arial" w:hAnsi="Arial" w:cs="Arial"/>
          <w:i/>
          <w:iCs/>
          <w:strike/>
          <w:color w:val="000000"/>
          <w:sz w:val="18"/>
          <w:szCs w:val="18"/>
        </w:rPr>
        <w:t>or has a general plan designation that allows residential use or a mix of residential and nonresidential uses</w:t>
      </w:r>
      <w:r w:rsidRPr="004143A8">
        <w:rPr>
          <w:rFonts w:ascii="Arial" w:hAnsi="Arial" w:cs="Arial"/>
          <w:i/>
          <w:iCs/>
          <w:color w:val="000000"/>
          <w:sz w:val="18"/>
          <w:szCs w:val="18"/>
        </w:rPr>
        <w:t>,</w:t>
      </w:r>
      <w:r w:rsidRPr="004143A8">
        <w:rPr>
          <w:rFonts w:ascii="Arial" w:hAnsi="Arial" w:cs="Arial"/>
          <w:color w:val="000000"/>
          <w:sz w:val="18"/>
          <w:szCs w:val="18"/>
        </w:rPr>
        <w:t> with at least two-thirds of the square footage</w:t>
      </w:r>
      <w:r w:rsidRPr="004143A8">
        <w:rPr>
          <w:rFonts w:ascii="Arial" w:hAnsi="Arial" w:cs="Arial"/>
          <w:i/>
          <w:iCs/>
          <w:color w:val="000000"/>
          <w:sz w:val="18"/>
          <w:szCs w:val="18"/>
        </w:rPr>
        <w:t> of the development</w:t>
      </w:r>
      <w:r w:rsidRPr="004143A8">
        <w:rPr>
          <w:rFonts w:ascii="Arial" w:hAnsi="Arial" w:cs="Arial"/>
          <w:color w:val="000000"/>
          <w:sz w:val="18"/>
          <w:szCs w:val="18"/>
        </w:rPr>
        <w:t> designated for residential use.</w:t>
      </w:r>
    </w:p>
    <w:p w14:paraId="1DCFC510" w14:textId="77777777" w:rsidR="002A7DE7" w:rsidRDefault="002A7DE7" w:rsidP="00D11FC1">
      <w:pPr>
        <w:widowControl w:val="0"/>
        <w:tabs>
          <w:tab w:val="left" w:pos="220"/>
          <w:tab w:val="left" w:pos="720"/>
          <w:tab w:val="left" w:pos="2427"/>
        </w:tabs>
        <w:autoSpaceDE w:val="0"/>
        <w:autoSpaceDN w:val="0"/>
        <w:adjustRightInd w:val="0"/>
        <w:jc w:val="both"/>
        <w:rPr>
          <w:rFonts w:ascii="Arial" w:hAnsi="Arial" w:cs="Arial"/>
          <w:b/>
          <w:sz w:val="20"/>
          <w:szCs w:val="20"/>
          <w:u w:val="single"/>
        </w:rPr>
      </w:pPr>
    </w:p>
    <w:p w14:paraId="22B9647C"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sz w:val="20"/>
          <w:szCs w:val="20"/>
        </w:rPr>
      </w:pPr>
      <w:r w:rsidRPr="00593E93">
        <w:rPr>
          <w:rFonts w:ascii="Arial" w:hAnsi="Arial" w:cs="Arial"/>
          <w:b/>
          <w:sz w:val="20"/>
          <w:szCs w:val="20"/>
          <w:highlight w:val="yellow"/>
          <w:u w:val="single"/>
        </w:rPr>
        <w:t>How You Can Get Involved</w:t>
      </w:r>
    </w:p>
    <w:p w14:paraId="3D50A0F2" w14:textId="35CD7C95"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sz w:val="20"/>
          <w:szCs w:val="20"/>
        </w:rPr>
      </w:pPr>
      <w:r w:rsidRPr="00273085">
        <w:rPr>
          <w:rFonts w:ascii="Arial" w:hAnsi="Arial" w:cs="Arial"/>
          <w:sz w:val="20"/>
          <w:szCs w:val="20"/>
        </w:rPr>
        <w:t xml:space="preserve">As bills are making their way through hearings, APA California has been sending letters to the authors in support or opposition of their measures.  As always, we would appreciate letters from members or their employers that are consistent with those positions. To review the letters, and for </w:t>
      </w:r>
      <w:r w:rsidR="003C3143">
        <w:rPr>
          <w:rFonts w:ascii="Arial" w:hAnsi="Arial" w:cs="Arial"/>
          <w:sz w:val="20"/>
          <w:szCs w:val="20"/>
        </w:rPr>
        <w:t>an alert on APA’s position on</w:t>
      </w:r>
      <w:r w:rsidRPr="00273085">
        <w:rPr>
          <w:rFonts w:ascii="Arial" w:hAnsi="Arial" w:cs="Arial"/>
          <w:sz w:val="20"/>
          <w:szCs w:val="20"/>
        </w:rPr>
        <w:t xml:space="preserve"> all of the </w:t>
      </w:r>
      <w:r w:rsidR="003C3143">
        <w:rPr>
          <w:rFonts w:ascii="Arial" w:hAnsi="Arial" w:cs="Arial"/>
          <w:sz w:val="20"/>
          <w:szCs w:val="20"/>
        </w:rPr>
        <w:t xml:space="preserve">remaining major </w:t>
      </w:r>
      <w:r w:rsidRPr="00273085">
        <w:rPr>
          <w:rFonts w:ascii="Arial" w:hAnsi="Arial" w:cs="Arial"/>
          <w:sz w:val="20"/>
          <w:szCs w:val="20"/>
        </w:rPr>
        <w:t xml:space="preserve">housing bills, please go to the legislative tab on APA’s website at </w:t>
      </w:r>
      <w:hyperlink r:id="rId8" w:history="1">
        <w:r w:rsidRPr="00273085">
          <w:rPr>
            <w:rStyle w:val="Hyperlink"/>
            <w:rFonts w:ascii="Arial" w:hAnsi="Arial" w:cs="Arial"/>
            <w:sz w:val="20"/>
            <w:szCs w:val="20"/>
          </w:rPr>
          <w:t>www.apacalifornia.com</w:t>
        </w:r>
      </w:hyperlink>
      <w:r w:rsidRPr="00273085">
        <w:rPr>
          <w:rFonts w:ascii="Arial" w:hAnsi="Arial" w:cs="Arial"/>
          <w:sz w:val="20"/>
          <w:szCs w:val="20"/>
        </w:rPr>
        <w:t xml:space="preserve">. All position letters will be posted on the APA California website “Legislation” page, which can be found here:  </w:t>
      </w:r>
      <w:hyperlink r:id="rId9" w:history="1">
        <w:r w:rsidRPr="00273085">
          <w:rPr>
            <w:rStyle w:val="Hyperlink"/>
            <w:rFonts w:ascii="Arial" w:hAnsi="Arial" w:cs="Arial"/>
            <w:sz w:val="20"/>
            <w:szCs w:val="20"/>
          </w:rPr>
          <w:t>https://www.apacalifornia.org/legislation/legislative-review-teams/position-letters/</w:t>
        </w:r>
      </w:hyperlink>
      <w:r w:rsidRPr="00273085">
        <w:rPr>
          <w:rFonts w:ascii="Arial" w:hAnsi="Arial" w:cs="Arial"/>
          <w:sz w:val="20"/>
          <w:szCs w:val="20"/>
        </w:rPr>
        <w:t xml:space="preserve">. Position letters will continue to be posted here as they are written and updated – </w:t>
      </w:r>
      <w:r w:rsidR="003C3143">
        <w:rPr>
          <w:rFonts w:ascii="Arial" w:hAnsi="Arial" w:cs="Arial"/>
          <w:sz w:val="20"/>
          <w:szCs w:val="20"/>
        </w:rPr>
        <w:t>APA encourages you</w:t>
      </w:r>
      <w:r w:rsidRPr="00273085">
        <w:rPr>
          <w:rFonts w:ascii="Arial" w:hAnsi="Arial" w:cs="Arial"/>
          <w:sz w:val="20"/>
          <w:szCs w:val="20"/>
        </w:rPr>
        <w:t xml:space="preserve"> to use these as templates for your own jurisdiction/company letters.  </w:t>
      </w:r>
    </w:p>
    <w:p w14:paraId="593B2AB8"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u w:val="single"/>
        </w:rPr>
      </w:pPr>
    </w:p>
    <w:p w14:paraId="51E21F81" w14:textId="77777777" w:rsidR="00273085" w:rsidRPr="00273085" w:rsidRDefault="005D6658" w:rsidP="00273085">
      <w:pPr>
        <w:widowControl w:val="0"/>
        <w:tabs>
          <w:tab w:val="left" w:pos="220"/>
          <w:tab w:val="left" w:pos="720"/>
          <w:tab w:val="left" w:pos="2427"/>
        </w:tabs>
        <w:autoSpaceDE w:val="0"/>
        <w:autoSpaceDN w:val="0"/>
        <w:adjustRightInd w:val="0"/>
        <w:jc w:val="both"/>
        <w:rPr>
          <w:rFonts w:ascii="Arial" w:hAnsi="Arial" w:cs="Arial"/>
          <w:b/>
          <w:color w:val="000000"/>
          <w:sz w:val="20"/>
          <w:szCs w:val="20"/>
          <w:u w:val="single"/>
        </w:rPr>
      </w:pPr>
      <w:r w:rsidRPr="00A17459">
        <w:rPr>
          <w:rFonts w:ascii="Arial" w:hAnsi="Arial" w:cs="Arial"/>
          <w:b/>
          <w:color w:val="000000"/>
          <w:sz w:val="20"/>
          <w:szCs w:val="20"/>
          <w:highlight w:val="yellow"/>
          <w:u w:val="single"/>
        </w:rPr>
        <w:t>UPDATES ON MAJOR HOT BILLS</w:t>
      </w:r>
    </w:p>
    <w:p w14:paraId="00763509" w14:textId="77777777" w:rsidR="00A17459" w:rsidRDefault="00A17459" w:rsidP="00273085">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4815B5F9" w14:textId="31D177E2" w:rsidR="00385D02" w:rsidRDefault="00501A45" w:rsidP="00273085">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273085">
        <w:rPr>
          <w:rFonts w:ascii="Arial" w:hAnsi="Arial" w:cs="Arial"/>
          <w:b/>
          <w:color w:val="000000"/>
          <w:sz w:val="20"/>
          <w:szCs w:val="20"/>
        </w:rPr>
        <w:t>AB 72</w:t>
      </w:r>
      <w:r w:rsidR="00235447" w:rsidRPr="00273085">
        <w:rPr>
          <w:rFonts w:ascii="Arial" w:hAnsi="Arial" w:cs="Arial"/>
          <w:b/>
          <w:color w:val="000000"/>
          <w:sz w:val="20"/>
          <w:szCs w:val="20"/>
        </w:rPr>
        <w:t xml:space="preserve"> </w:t>
      </w:r>
      <w:r w:rsidR="00385D02">
        <w:rPr>
          <w:rFonts w:ascii="Arial" w:hAnsi="Arial" w:cs="Arial"/>
          <w:b/>
          <w:color w:val="000000"/>
          <w:sz w:val="20"/>
          <w:szCs w:val="20"/>
        </w:rPr>
        <w:t>–</w:t>
      </w:r>
      <w:r w:rsidR="00235447" w:rsidRPr="00273085">
        <w:rPr>
          <w:rFonts w:ascii="Arial" w:hAnsi="Arial" w:cs="Arial"/>
          <w:b/>
          <w:color w:val="000000"/>
          <w:sz w:val="20"/>
          <w:szCs w:val="20"/>
        </w:rPr>
        <w:t xml:space="preserve"> </w:t>
      </w:r>
      <w:r w:rsidR="00385D02">
        <w:rPr>
          <w:rFonts w:ascii="Arial" w:hAnsi="Arial" w:cs="Arial"/>
          <w:b/>
          <w:color w:val="000000"/>
          <w:sz w:val="20"/>
          <w:szCs w:val="20"/>
        </w:rPr>
        <w:t>Housing Law Enforcement and Finding of Noncompliance by HCD</w:t>
      </w:r>
    </w:p>
    <w:p w14:paraId="0966FDC5" w14:textId="42953442" w:rsidR="00385D02" w:rsidRPr="00273085" w:rsidRDefault="00385D02" w:rsidP="00385D0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Support if Amended </w:t>
      </w:r>
      <w:r w:rsidR="00D82C09">
        <w:rPr>
          <w:rFonts w:ascii="Arial" w:hAnsi="Arial" w:cs="Arial"/>
          <w:i/>
          <w:color w:val="000000"/>
          <w:sz w:val="20"/>
          <w:szCs w:val="20"/>
        </w:rPr>
        <w:t xml:space="preserve">– </w:t>
      </w:r>
      <w:r w:rsidR="0026228A">
        <w:rPr>
          <w:rFonts w:ascii="Arial" w:hAnsi="Arial" w:cs="Arial"/>
          <w:b/>
          <w:i/>
          <w:color w:val="000000"/>
          <w:sz w:val="20"/>
          <w:szCs w:val="20"/>
        </w:rPr>
        <w:t>May</w:t>
      </w:r>
      <w:r w:rsidR="00F34717" w:rsidRPr="00F34717">
        <w:rPr>
          <w:rFonts w:ascii="Arial" w:hAnsi="Arial" w:cs="Arial"/>
          <w:b/>
          <w:i/>
          <w:color w:val="000000"/>
          <w:sz w:val="20"/>
          <w:szCs w:val="20"/>
        </w:rPr>
        <w:t xml:space="preserve"> Be</w:t>
      </w:r>
      <w:r w:rsidR="00F34717">
        <w:rPr>
          <w:rFonts w:ascii="Arial" w:hAnsi="Arial" w:cs="Arial"/>
          <w:i/>
          <w:color w:val="000000"/>
          <w:sz w:val="20"/>
          <w:szCs w:val="20"/>
        </w:rPr>
        <w:t xml:space="preserve"> </w:t>
      </w:r>
      <w:r w:rsidR="00D82C09" w:rsidRPr="00D82C09">
        <w:rPr>
          <w:rFonts w:ascii="Arial" w:hAnsi="Arial" w:cs="Arial"/>
          <w:b/>
          <w:i/>
          <w:color w:val="000000"/>
          <w:sz w:val="20"/>
          <w:szCs w:val="20"/>
        </w:rPr>
        <w:t>Part of the Governor’s Housing Package</w:t>
      </w:r>
    </w:p>
    <w:p w14:paraId="4F2225F0" w14:textId="592D6FC8" w:rsidR="00385D02" w:rsidRPr="00273085" w:rsidRDefault="00385D02" w:rsidP="00385D0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Location: </w:t>
      </w:r>
      <w:r w:rsidR="00D82C09">
        <w:rPr>
          <w:rFonts w:ascii="Arial" w:hAnsi="Arial" w:cs="Arial"/>
          <w:i/>
          <w:color w:val="000000"/>
          <w:sz w:val="20"/>
          <w:szCs w:val="20"/>
        </w:rPr>
        <w:t>On Senate Floor</w:t>
      </w:r>
    </w:p>
    <w:p w14:paraId="530E5F9D" w14:textId="741E7553" w:rsidR="00235447" w:rsidRPr="00F267B5" w:rsidRDefault="00385D02" w:rsidP="00385D02">
      <w:pPr>
        <w:widowControl w:val="0"/>
        <w:tabs>
          <w:tab w:val="left" w:pos="220"/>
          <w:tab w:val="left" w:pos="720"/>
          <w:tab w:val="left" w:pos="2427"/>
        </w:tabs>
        <w:autoSpaceDE w:val="0"/>
        <w:autoSpaceDN w:val="0"/>
        <w:adjustRightInd w:val="0"/>
        <w:jc w:val="both"/>
        <w:rPr>
          <w:rFonts w:ascii="Arial" w:hAnsi="Arial" w:cs="Arial"/>
          <w:color w:val="000000"/>
          <w:sz w:val="20"/>
          <w:szCs w:val="20"/>
          <w:u w:val="single"/>
        </w:rPr>
      </w:pPr>
      <w:r>
        <w:rPr>
          <w:rFonts w:ascii="Arial" w:hAnsi="Arial" w:cs="Arial"/>
          <w:sz w:val="20"/>
          <w:szCs w:val="20"/>
        </w:rPr>
        <w:t xml:space="preserve">This bill provides the Attorney General with the authority to enforce housing statutes, and allows HCD to find a jurisdiction in non-compliance with Housing Element Law after initially finding the housing element in compliance. </w:t>
      </w:r>
      <w:r w:rsidR="00235447" w:rsidRPr="00273085">
        <w:rPr>
          <w:rFonts w:ascii="Arial" w:hAnsi="Arial" w:cs="Arial"/>
          <w:sz w:val="20"/>
          <w:szCs w:val="20"/>
        </w:rPr>
        <w:t>APA supports increased enforcement of housing element laws and other targeted housing statutes</w:t>
      </w:r>
      <w:r w:rsidR="00A32613">
        <w:rPr>
          <w:rFonts w:ascii="Arial" w:hAnsi="Arial" w:cs="Arial"/>
          <w:sz w:val="20"/>
          <w:szCs w:val="20"/>
        </w:rPr>
        <w:t>, and many of APA’s amendments were inserted into the bill.  But</w:t>
      </w:r>
      <w:r w:rsidR="00235447" w:rsidRPr="00273085">
        <w:rPr>
          <w:rFonts w:ascii="Arial" w:hAnsi="Arial" w:cs="Arial"/>
          <w:sz w:val="20"/>
          <w:szCs w:val="20"/>
        </w:rPr>
        <w:t xml:space="preserve">, </w:t>
      </w:r>
      <w:r w:rsidR="00A32613" w:rsidRPr="00B85913">
        <w:rPr>
          <w:rFonts w:ascii="Arial" w:hAnsi="Arial" w:cs="Arial"/>
          <w:b/>
          <w:sz w:val="20"/>
          <w:szCs w:val="20"/>
        </w:rPr>
        <w:t xml:space="preserve">the bill </w:t>
      </w:r>
      <w:r w:rsidR="00E22847" w:rsidRPr="00B85913">
        <w:rPr>
          <w:rFonts w:ascii="Arial" w:hAnsi="Arial" w:cs="Arial"/>
          <w:b/>
          <w:sz w:val="20"/>
          <w:szCs w:val="20"/>
        </w:rPr>
        <w:t xml:space="preserve">still needs amendments to allow more time to cure (from </w:t>
      </w:r>
      <w:r w:rsidR="00F34717" w:rsidRPr="00B85913">
        <w:rPr>
          <w:rFonts w:ascii="Arial" w:hAnsi="Arial" w:cs="Arial"/>
          <w:b/>
          <w:sz w:val="20"/>
          <w:szCs w:val="20"/>
        </w:rPr>
        <w:t xml:space="preserve">the short </w:t>
      </w:r>
      <w:r w:rsidR="00E22847" w:rsidRPr="00B85913">
        <w:rPr>
          <w:rFonts w:ascii="Arial" w:hAnsi="Arial" w:cs="Arial"/>
          <w:b/>
          <w:sz w:val="20"/>
          <w:szCs w:val="20"/>
        </w:rPr>
        <w:t xml:space="preserve">30 days </w:t>
      </w:r>
      <w:r w:rsidR="00F34717" w:rsidRPr="00B85913">
        <w:rPr>
          <w:rFonts w:ascii="Arial" w:hAnsi="Arial" w:cs="Arial"/>
          <w:b/>
          <w:sz w:val="20"/>
          <w:szCs w:val="20"/>
        </w:rPr>
        <w:t xml:space="preserve">in ther bill </w:t>
      </w:r>
      <w:r w:rsidR="00E22847" w:rsidRPr="00B85913">
        <w:rPr>
          <w:rFonts w:ascii="Arial" w:hAnsi="Arial" w:cs="Arial"/>
          <w:b/>
          <w:sz w:val="20"/>
          <w:szCs w:val="20"/>
        </w:rPr>
        <w:t xml:space="preserve">to up to 120 days depending on the actions </w:t>
      </w:r>
      <w:r w:rsidR="00A32613" w:rsidRPr="00B85913">
        <w:rPr>
          <w:rFonts w:ascii="Arial" w:hAnsi="Arial" w:cs="Arial"/>
          <w:b/>
          <w:sz w:val="20"/>
          <w:szCs w:val="20"/>
        </w:rPr>
        <w:t xml:space="preserve">required), and to apply </w:t>
      </w:r>
      <w:r w:rsidR="00E22847" w:rsidRPr="00B85913">
        <w:rPr>
          <w:rFonts w:ascii="Arial" w:hAnsi="Arial" w:cs="Arial"/>
          <w:b/>
          <w:sz w:val="20"/>
          <w:szCs w:val="20"/>
        </w:rPr>
        <w:t>due process and curing requirements to AG enforcement actions</w:t>
      </w:r>
      <w:r w:rsidR="00A32613" w:rsidRPr="00B85913">
        <w:rPr>
          <w:rFonts w:ascii="Arial" w:hAnsi="Arial" w:cs="Arial"/>
          <w:b/>
          <w:sz w:val="20"/>
          <w:szCs w:val="20"/>
        </w:rPr>
        <w:t xml:space="preserve"> similar to those added for HCD</w:t>
      </w:r>
      <w:r w:rsidR="00F34717" w:rsidRPr="00B85913">
        <w:rPr>
          <w:rFonts w:ascii="Arial" w:hAnsi="Arial" w:cs="Arial"/>
          <w:b/>
          <w:sz w:val="20"/>
          <w:szCs w:val="20"/>
        </w:rPr>
        <w:t xml:space="preserve"> at APA’s request</w:t>
      </w:r>
      <w:r w:rsidR="00E22847" w:rsidRPr="00B85913">
        <w:rPr>
          <w:rFonts w:ascii="Arial" w:hAnsi="Arial" w:cs="Arial"/>
          <w:b/>
          <w:sz w:val="20"/>
          <w:szCs w:val="20"/>
        </w:rPr>
        <w:t>.</w:t>
      </w:r>
    </w:p>
    <w:p w14:paraId="6FC1D557" w14:textId="62B587E5" w:rsidR="00501A45" w:rsidRPr="00273085" w:rsidRDefault="00501A45"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08EFA4DF"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273085">
        <w:rPr>
          <w:rFonts w:ascii="Arial" w:hAnsi="Arial" w:cs="Arial"/>
          <w:b/>
          <w:color w:val="000000"/>
          <w:sz w:val="20"/>
          <w:szCs w:val="20"/>
        </w:rPr>
        <w:t>AB 686 – CA Affirmatively Further Fair Housing Law</w:t>
      </w:r>
    </w:p>
    <w:p w14:paraId="6C94B089" w14:textId="080D4C52"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Position: Support if Amended to Mirror Federal Regs</w:t>
      </w:r>
      <w:r w:rsidR="00D82C09">
        <w:rPr>
          <w:rFonts w:ascii="Arial" w:hAnsi="Arial" w:cs="Arial"/>
          <w:i/>
          <w:color w:val="000000"/>
          <w:sz w:val="20"/>
          <w:szCs w:val="20"/>
        </w:rPr>
        <w:t xml:space="preserve"> </w:t>
      </w:r>
      <w:r w:rsidR="00A32613">
        <w:rPr>
          <w:rFonts w:ascii="Arial" w:hAnsi="Arial" w:cs="Arial"/>
          <w:i/>
          <w:color w:val="000000"/>
          <w:sz w:val="20"/>
          <w:szCs w:val="20"/>
        </w:rPr>
        <w:t>–</w:t>
      </w:r>
      <w:r w:rsidR="00D82C09">
        <w:rPr>
          <w:rFonts w:ascii="Arial" w:hAnsi="Arial" w:cs="Arial"/>
          <w:i/>
          <w:color w:val="000000"/>
          <w:sz w:val="20"/>
          <w:szCs w:val="20"/>
        </w:rPr>
        <w:t xml:space="preserve"> </w:t>
      </w:r>
      <w:r w:rsidR="00A32613">
        <w:rPr>
          <w:rFonts w:ascii="Arial" w:hAnsi="Arial" w:cs="Arial"/>
          <w:b/>
          <w:i/>
          <w:color w:val="000000"/>
          <w:sz w:val="20"/>
          <w:szCs w:val="20"/>
        </w:rPr>
        <w:t>Two-Year Bill</w:t>
      </w:r>
    </w:p>
    <w:p w14:paraId="1F457A72" w14:textId="4BB9A6C4"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Locatio</w:t>
      </w:r>
      <w:r w:rsidR="002A7DE7">
        <w:rPr>
          <w:rFonts w:ascii="Arial" w:hAnsi="Arial" w:cs="Arial"/>
          <w:i/>
          <w:color w:val="000000"/>
          <w:sz w:val="20"/>
          <w:szCs w:val="20"/>
        </w:rPr>
        <w:t xml:space="preserve">n: Senate </w:t>
      </w:r>
      <w:r w:rsidR="00D82C09">
        <w:rPr>
          <w:rFonts w:ascii="Arial" w:hAnsi="Arial" w:cs="Arial"/>
          <w:i/>
          <w:color w:val="000000"/>
          <w:sz w:val="20"/>
          <w:szCs w:val="20"/>
        </w:rPr>
        <w:t>Transportation &amp; Housing</w:t>
      </w:r>
      <w:r w:rsidR="002A7DE7">
        <w:rPr>
          <w:rFonts w:ascii="Arial" w:hAnsi="Arial" w:cs="Arial"/>
          <w:i/>
          <w:color w:val="000000"/>
          <w:sz w:val="20"/>
          <w:szCs w:val="20"/>
        </w:rPr>
        <w:t xml:space="preserve"> Committee </w:t>
      </w:r>
    </w:p>
    <w:p w14:paraId="6EF366ED" w14:textId="63644307" w:rsidR="00EA716D" w:rsidRPr="00EA716D" w:rsidRDefault="005D6658" w:rsidP="00D11FC1">
      <w:pPr>
        <w:jc w:val="both"/>
        <w:rPr>
          <w:rFonts w:eastAsia="Times New Roman"/>
          <w:color w:val="000000" w:themeColor="text1"/>
        </w:rPr>
      </w:pPr>
      <w:r w:rsidRPr="00EA716D">
        <w:rPr>
          <w:rFonts w:ascii="Arial" w:hAnsi="Arial" w:cs="Arial"/>
          <w:color w:val="000000" w:themeColor="text1"/>
          <w:sz w:val="20"/>
          <w:szCs w:val="20"/>
        </w:rPr>
        <w:t xml:space="preserve">This bill would </w:t>
      </w:r>
      <w:r w:rsidR="00A32613">
        <w:rPr>
          <w:rFonts w:ascii="Arial" w:hAnsi="Arial" w:cs="Arial"/>
          <w:color w:val="000000" w:themeColor="text1"/>
          <w:sz w:val="20"/>
          <w:szCs w:val="20"/>
        </w:rPr>
        <w:t xml:space="preserve">have </w:t>
      </w:r>
      <w:r w:rsidRPr="00EA716D">
        <w:rPr>
          <w:rFonts w:ascii="Arial" w:hAnsi="Arial" w:cs="Arial"/>
          <w:color w:val="000000" w:themeColor="text1"/>
          <w:sz w:val="20"/>
          <w:szCs w:val="20"/>
        </w:rPr>
        <w:t>require</w:t>
      </w:r>
      <w:r w:rsidR="00A32613">
        <w:rPr>
          <w:rFonts w:ascii="Arial" w:hAnsi="Arial" w:cs="Arial"/>
          <w:color w:val="000000" w:themeColor="text1"/>
          <w:sz w:val="20"/>
          <w:szCs w:val="20"/>
        </w:rPr>
        <w:t>d</w:t>
      </w:r>
      <w:r w:rsidRPr="00EA716D">
        <w:rPr>
          <w:rFonts w:ascii="Arial" w:hAnsi="Arial" w:cs="Arial"/>
          <w:color w:val="000000" w:themeColor="text1"/>
          <w:sz w:val="20"/>
          <w:szCs w:val="20"/>
        </w:rPr>
        <w:t xml:space="preserve"> a public agency, including cities, counties and regional agencies, to administer its programs and activities relating to housing and community development in a manner to affirmatively further fair housing, and to not take any action that is inconsistent with this obligation. Unfortunately,</w:t>
      </w:r>
      <w:r w:rsidR="0008680E">
        <w:rPr>
          <w:rFonts w:ascii="Arial" w:hAnsi="Arial" w:cs="Arial"/>
          <w:color w:val="000000" w:themeColor="text1"/>
          <w:sz w:val="20"/>
          <w:szCs w:val="20"/>
        </w:rPr>
        <w:t xml:space="preserve"> the requirements in the bill w</w:t>
      </w:r>
      <w:r w:rsidR="00B85913">
        <w:rPr>
          <w:rFonts w:ascii="Arial" w:hAnsi="Arial" w:cs="Arial"/>
          <w:color w:val="000000" w:themeColor="text1"/>
          <w:sz w:val="20"/>
          <w:szCs w:val="20"/>
        </w:rPr>
        <w:t>e</w:t>
      </w:r>
      <w:r w:rsidR="0008680E">
        <w:rPr>
          <w:rFonts w:ascii="Arial" w:hAnsi="Arial" w:cs="Arial"/>
          <w:color w:val="000000" w:themeColor="text1"/>
          <w:sz w:val="20"/>
          <w:szCs w:val="20"/>
        </w:rPr>
        <w:t>nt</w:t>
      </w:r>
      <w:r w:rsidRPr="00EA716D">
        <w:rPr>
          <w:rFonts w:ascii="Arial" w:hAnsi="Arial" w:cs="Arial"/>
          <w:color w:val="000000" w:themeColor="text1"/>
          <w:sz w:val="20"/>
          <w:szCs w:val="20"/>
        </w:rPr>
        <w:t xml:space="preserve"> way beyond federal regulations</w:t>
      </w:r>
      <w:r w:rsidR="00B85913">
        <w:rPr>
          <w:rFonts w:ascii="Arial" w:hAnsi="Arial" w:cs="Arial"/>
          <w:color w:val="000000" w:themeColor="text1"/>
          <w:sz w:val="20"/>
          <w:szCs w:val="20"/>
        </w:rPr>
        <w:t xml:space="preserve"> though that was the goal of the bill in case federal law in this area is eliminated</w:t>
      </w:r>
      <w:r w:rsidRPr="00EA716D">
        <w:rPr>
          <w:rFonts w:ascii="Arial" w:hAnsi="Arial" w:cs="Arial"/>
          <w:color w:val="000000" w:themeColor="text1"/>
          <w:sz w:val="20"/>
          <w:szCs w:val="20"/>
        </w:rPr>
        <w:t xml:space="preserve">.  </w:t>
      </w:r>
      <w:r w:rsidRPr="00B85913">
        <w:rPr>
          <w:rFonts w:ascii="Arial" w:hAnsi="Arial" w:cs="Arial"/>
          <w:b/>
          <w:color w:val="000000" w:themeColor="text1"/>
          <w:sz w:val="20"/>
          <w:szCs w:val="20"/>
        </w:rPr>
        <w:t>APA submitted amendments to pare back the bill to include only the federal regulations in California law</w:t>
      </w:r>
      <w:r w:rsidR="00A32613" w:rsidRPr="00B85913">
        <w:rPr>
          <w:rFonts w:ascii="Arial" w:hAnsi="Arial" w:cs="Arial"/>
          <w:b/>
          <w:color w:val="000000" w:themeColor="text1"/>
          <w:sz w:val="20"/>
          <w:szCs w:val="20"/>
        </w:rPr>
        <w:t>.</w:t>
      </w:r>
      <w:r w:rsidR="00A32613">
        <w:rPr>
          <w:rFonts w:ascii="Arial" w:hAnsi="Arial" w:cs="Arial"/>
          <w:color w:val="000000" w:themeColor="text1"/>
          <w:sz w:val="20"/>
          <w:szCs w:val="20"/>
        </w:rPr>
        <w:t xml:space="preserve"> </w:t>
      </w:r>
      <w:r w:rsidR="00A32613">
        <w:rPr>
          <w:rFonts w:ascii="Arial" w:eastAsia="Times New Roman" w:hAnsi="Arial" w:cs="Arial"/>
          <w:iCs/>
          <w:color w:val="000000" w:themeColor="text1"/>
          <w:sz w:val="20"/>
          <w:szCs w:val="20"/>
          <w:shd w:val="clear" w:color="auto" w:fill="FFFFFF"/>
        </w:rPr>
        <w:t>The bill is now</w:t>
      </w:r>
      <w:r w:rsidR="00D82C09">
        <w:rPr>
          <w:rFonts w:ascii="Arial" w:eastAsia="Times New Roman" w:hAnsi="Arial" w:cs="Arial"/>
          <w:iCs/>
          <w:color w:val="000000" w:themeColor="text1"/>
          <w:sz w:val="20"/>
          <w:szCs w:val="20"/>
          <w:shd w:val="clear" w:color="auto" w:fill="FFFFFF"/>
        </w:rPr>
        <w:t xml:space="preserve"> a two-year bill, </w:t>
      </w:r>
      <w:r w:rsidR="00A32613">
        <w:rPr>
          <w:rFonts w:ascii="Arial" w:eastAsia="Times New Roman" w:hAnsi="Arial" w:cs="Arial"/>
          <w:iCs/>
          <w:color w:val="000000" w:themeColor="text1"/>
          <w:sz w:val="20"/>
          <w:szCs w:val="20"/>
          <w:shd w:val="clear" w:color="auto" w:fill="FFFFFF"/>
        </w:rPr>
        <w:t>and will most likely move again in January.</w:t>
      </w:r>
    </w:p>
    <w:p w14:paraId="43CD3AC5"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33547228" w14:textId="2A5E339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273085">
        <w:rPr>
          <w:rFonts w:ascii="Arial" w:hAnsi="Arial" w:cs="Arial"/>
          <w:b/>
          <w:color w:val="000000"/>
          <w:sz w:val="20"/>
          <w:szCs w:val="20"/>
        </w:rPr>
        <w:t xml:space="preserve">AB 678/SB 167 – </w:t>
      </w:r>
      <w:r w:rsidR="00C74083">
        <w:rPr>
          <w:rFonts w:ascii="Arial" w:hAnsi="Arial" w:cs="Arial"/>
          <w:b/>
          <w:color w:val="000000"/>
          <w:sz w:val="20"/>
          <w:szCs w:val="20"/>
        </w:rPr>
        <w:t xml:space="preserve">New </w:t>
      </w:r>
      <w:r w:rsidRPr="00273085">
        <w:rPr>
          <w:rFonts w:ascii="Arial" w:hAnsi="Arial" w:cs="Arial"/>
          <w:b/>
          <w:color w:val="000000"/>
          <w:sz w:val="20"/>
          <w:szCs w:val="20"/>
        </w:rPr>
        <w:t xml:space="preserve">Housing Accountability Act </w:t>
      </w:r>
      <w:r w:rsidR="00C74083">
        <w:rPr>
          <w:rFonts w:ascii="Arial" w:hAnsi="Arial" w:cs="Arial"/>
          <w:b/>
          <w:color w:val="000000"/>
          <w:sz w:val="20"/>
          <w:szCs w:val="20"/>
        </w:rPr>
        <w:t>Enforcement Provisions</w:t>
      </w:r>
    </w:p>
    <w:p w14:paraId="49AC3329" w14:textId="597C3918" w:rsidR="005D6658" w:rsidRPr="00ED31E6" w:rsidRDefault="005D6658" w:rsidP="005D6658">
      <w:pPr>
        <w:widowControl w:val="0"/>
        <w:tabs>
          <w:tab w:val="left" w:pos="220"/>
          <w:tab w:val="left" w:pos="720"/>
          <w:tab w:val="left" w:pos="2427"/>
        </w:tabs>
        <w:autoSpaceDE w:val="0"/>
        <w:autoSpaceDN w:val="0"/>
        <w:adjustRightInd w:val="0"/>
        <w:jc w:val="both"/>
        <w:rPr>
          <w:rFonts w:ascii="Arial" w:hAnsi="Arial" w:cs="Arial"/>
          <w:b/>
          <w:i/>
          <w:color w:val="000000"/>
          <w:sz w:val="20"/>
          <w:szCs w:val="20"/>
        </w:rPr>
      </w:pPr>
      <w:r w:rsidRPr="00273085">
        <w:rPr>
          <w:rFonts w:ascii="Arial" w:hAnsi="Arial" w:cs="Arial"/>
          <w:i/>
          <w:color w:val="000000"/>
          <w:sz w:val="20"/>
          <w:szCs w:val="20"/>
        </w:rPr>
        <w:t xml:space="preserve">Position: </w:t>
      </w:r>
      <w:r w:rsidR="00ED31E6">
        <w:rPr>
          <w:rFonts w:ascii="Arial" w:hAnsi="Arial" w:cs="Arial"/>
          <w:i/>
          <w:color w:val="000000"/>
          <w:sz w:val="20"/>
          <w:szCs w:val="20"/>
        </w:rPr>
        <w:t>Neutral on HAA portions of bills/</w:t>
      </w:r>
      <w:r w:rsidRPr="00ED31E6">
        <w:rPr>
          <w:rFonts w:ascii="Arial" w:hAnsi="Arial" w:cs="Arial"/>
          <w:b/>
          <w:i/>
          <w:color w:val="000000"/>
          <w:sz w:val="20"/>
          <w:szCs w:val="20"/>
        </w:rPr>
        <w:t xml:space="preserve">Oppose </w:t>
      </w:r>
      <w:r w:rsidR="00ED31E6" w:rsidRPr="00ED31E6">
        <w:rPr>
          <w:rFonts w:ascii="Arial" w:hAnsi="Arial" w:cs="Arial"/>
          <w:b/>
          <w:i/>
          <w:color w:val="000000"/>
          <w:sz w:val="20"/>
          <w:szCs w:val="20"/>
        </w:rPr>
        <w:t>amendments inserted as part of the Governor’s Housing Package</w:t>
      </w:r>
      <w:r w:rsidRPr="00ED31E6">
        <w:rPr>
          <w:rFonts w:ascii="Arial" w:hAnsi="Arial" w:cs="Arial"/>
          <w:b/>
          <w:i/>
          <w:color w:val="000000"/>
          <w:sz w:val="20"/>
          <w:szCs w:val="20"/>
        </w:rPr>
        <w:t xml:space="preserve">  </w:t>
      </w:r>
    </w:p>
    <w:p w14:paraId="6E33826F" w14:textId="5A0CD0B3"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Location:</w:t>
      </w:r>
      <w:r w:rsidR="008B6DA2">
        <w:rPr>
          <w:rFonts w:ascii="Arial" w:hAnsi="Arial" w:cs="Arial"/>
          <w:i/>
          <w:color w:val="000000"/>
          <w:sz w:val="20"/>
          <w:szCs w:val="20"/>
        </w:rPr>
        <w:t xml:space="preserve"> On</w:t>
      </w:r>
      <w:r w:rsidRPr="00273085">
        <w:rPr>
          <w:rFonts w:ascii="Arial" w:hAnsi="Arial" w:cs="Arial"/>
          <w:i/>
          <w:color w:val="000000"/>
          <w:sz w:val="20"/>
          <w:szCs w:val="20"/>
        </w:rPr>
        <w:t xml:space="preserve"> </w:t>
      </w:r>
      <w:r w:rsidR="00C74083">
        <w:rPr>
          <w:rFonts w:ascii="Arial" w:hAnsi="Arial" w:cs="Arial"/>
          <w:i/>
          <w:color w:val="000000"/>
          <w:sz w:val="20"/>
          <w:szCs w:val="20"/>
        </w:rPr>
        <w:t>Senate</w:t>
      </w:r>
      <w:r w:rsidR="00871190">
        <w:rPr>
          <w:rFonts w:ascii="Arial" w:hAnsi="Arial" w:cs="Arial"/>
          <w:i/>
          <w:color w:val="000000"/>
          <w:sz w:val="20"/>
          <w:szCs w:val="20"/>
        </w:rPr>
        <w:t xml:space="preserve"> Floor/</w:t>
      </w:r>
      <w:r w:rsidR="00637E8A">
        <w:rPr>
          <w:rFonts w:ascii="Arial" w:hAnsi="Arial" w:cs="Arial"/>
          <w:i/>
          <w:color w:val="000000"/>
          <w:sz w:val="20"/>
          <w:szCs w:val="20"/>
        </w:rPr>
        <w:t>On Assembly Floor</w:t>
      </w:r>
      <w:r w:rsidR="00871190">
        <w:rPr>
          <w:rFonts w:ascii="Arial" w:hAnsi="Arial" w:cs="Arial"/>
          <w:i/>
          <w:color w:val="000000"/>
          <w:sz w:val="20"/>
          <w:szCs w:val="20"/>
        </w:rPr>
        <w:t xml:space="preserve"> </w:t>
      </w:r>
    </w:p>
    <w:p w14:paraId="491FD4A9" w14:textId="7FA6042F" w:rsidR="005D6658" w:rsidRDefault="005D6658" w:rsidP="005D6658">
      <w:pPr>
        <w:widowControl w:val="0"/>
        <w:tabs>
          <w:tab w:val="left" w:pos="220"/>
          <w:tab w:val="left" w:pos="720"/>
          <w:tab w:val="left" w:pos="2427"/>
        </w:tabs>
        <w:autoSpaceDE w:val="0"/>
        <w:autoSpaceDN w:val="0"/>
        <w:adjustRightInd w:val="0"/>
        <w:jc w:val="both"/>
        <w:rPr>
          <w:rFonts w:ascii="Arial" w:hAnsi="Arial" w:cs="Arial"/>
          <w:color w:val="000000"/>
          <w:sz w:val="20"/>
          <w:szCs w:val="20"/>
        </w:rPr>
      </w:pPr>
      <w:r w:rsidRPr="00273085">
        <w:rPr>
          <w:rFonts w:ascii="Arial" w:hAnsi="Arial" w:cs="Arial"/>
          <w:color w:val="000000"/>
          <w:sz w:val="20"/>
          <w:szCs w:val="20"/>
        </w:rPr>
        <w:t xml:space="preserve">These bills make a number of changes to the Housing Accountability Act (HAA). Originally, both bills (which are </w:t>
      </w:r>
      <w:r w:rsidR="00F629AA">
        <w:rPr>
          <w:rFonts w:ascii="Arial" w:hAnsi="Arial" w:cs="Arial"/>
          <w:color w:val="000000"/>
          <w:sz w:val="20"/>
          <w:szCs w:val="20"/>
        </w:rPr>
        <w:t>now</w:t>
      </w:r>
      <w:r w:rsidRPr="00273085">
        <w:rPr>
          <w:rFonts w:ascii="Arial" w:hAnsi="Arial" w:cs="Arial"/>
          <w:color w:val="000000"/>
          <w:sz w:val="20"/>
          <w:szCs w:val="20"/>
        </w:rPr>
        <w:t xml:space="preserve"> identical) included requirements that local governments would not have been able to meet and would have imposed automatic fines for HAA violations without the ability to cure those violations.  As now amended,</w:t>
      </w:r>
      <w:r w:rsidR="00A32613">
        <w:rPr>
          <w:rFonts w:ascii="Arial" w:hAnsi="Arial" w:cs="Arial"/>
          <w:color w:val="000000"/>
          <w:sz w:val="20"/>
          <w:szCs w:val="20"/>
        </w:rPr>
        <w:t xml:space="preserve"> the bill is in better shape. </w:t>
      </w:r>
      <w:r w:rsidR="00ED31E6">
        <w:rPr>
          <w:rFonts w:ascii="Arial" w:hAnsi="Arial" w:cs="Arial"/>
          <w:color w:val="000000"/>
          <w:sz w:val="20"/>
          <w:szCs w:val="20"/>
        </w:rPr>
        <w:t xml:space="preserve">Due to all of the amendments taken by the authors, </w:t>
      </w:r>
      <w:r w:rsidR="002131EE">
        <w:rPr>
          <w:rFonts w:ascii="Arial" w:hAnsi="Arial" w:cs="Arial"/>
          <w:color w:val="000000"/>
          <w:sz w:val="20"/>
          <w:szCs w:val="20"/>
        </w:rPr>
        <w:t>APA was ready to remove our</w:t>
      </w:r>
      <w:r w:rsidRPr="00273085">
        <w:rPr>
          <w:rFonts w:ascii="Arial" w:hAnsi="Arial" w:cs="Arial"/>
          <w:color w:val="000000"/>
          <w:sz w:val="20"/>
          <w:szCs w:val="20"/>
        </w:rPr>
        <w:t xml:space="preserve"> opposition to </w:t>
      </w:r>
      <w:r w:rsidR="00ED31E6">
        <w:rPr>
          <w:rFonts w:ascii="Arial" w:hAnsi="Arial" w:cs="Arial"/>
          <w:color w:val="000000"/>
          <w:sz w:val="20"/>
          <w:szCs w:val="20"/>
        </w:rPr>
        <w:t>the HAA portion of these bills.  Unfortunately, as part of the Governor’s Housing Package, new amendments have</w:t>
      </w:r>
      <w:r w:rsidR="00A32613">
        <w:rPr>
          <w:rFonts w:ascii="Arial" w:hAnsi="Arial" w:cs="Arial"/>
          <w:color w:val="000000"/>
          <w:sz w:val="20"/>
          <w:szCs w:val="20"/>
        </w:rPr>
        <w:t xml:space="preserve"> been inserted that APA opposes and need amendment:</w:t>
      </w:r>
    </w:p>
    <w:p w14:paraId="71E3D3F5" w14:textId="77777777" w:rsidR="00754B3A" w:rsidRPr="002131EE" w:rsidRDefault="00754B3A" w:rsidP="00754B3A">
      <w:pPr>
        <w:pStyle w:val="NoSpacing"/>
        <w:numPr>
          <w:ilvl w:val="0"/>
          <w:numId w:val="4"/>
        </w:numPr>
        <w:jc w:val="both"/>
        <w:rPr>
          <w:rFonts w:ascii="Arial" w:hAnsi="Arial" w:cs="Arial"/>
          <w:b/>
          <w:color w:val="000000"/>
          <w:sz w:val="18"/>
          <w:szCs w:val="18"/>
        </w:rPr>
      </w:pPr>
      <w:r w:rsidRPr="002131EE">
        <w:rPr>
          <w:rFonts w:ascii="Arial" w:hAnsi="Arial" w:cs="Arial"/>
          <w:b/>
          <w:sz w:val="18"/>
          <w:szCs w:val="18"/>
        </w:rPr>
        <w:t>T</w:t>
      </w:r>
      <w:r w:rsidRPr="002131EE">
        <w:rPr>
          <w:rFonts w:ascii="Arial" w:hAnsi="Arial" w:cs="Arial"/>
          <w:b/>
          <w:color w:val="000000"/>
          <w:sz w:val="18"/>
          <w:szCs w:val="18"/>
        </w:rPr>
        <w:t>he new definition of “lower density’ “includes conditions that have the same effect or impact on the ability of the project to provide housing.” This requirement isn’t clear.  Instead, it should read: “lower density” includes conditions that have the </w:t>
      </w:r>
      <w:r w:rsidRPr="002131EE">
        <w:rPr>
          <w:rFonts w:ascii="Arial" w:hAnsi="Arial" w:cs="Arial"/>
          <w:b/>
          <w:color w:val="000000"/>
          <w:sz w:val="18"/>
          <w:szCs w:val="18"/>
          <w:u w:val="single"/>
        </w:rPr>
        <w:t>effect of lowering density.</w:t>
      </w:r>
      <w:r w:rsidRPr="002131EE">
        <w:rPr>
          <w:rFonts w:ascii="Arial" w:hAnsi="Arial" w:cs="Arial"/>
          <w:b/>
          <w:color w:val="000000"/>
          <w:sz w:val="18"/>
          <w:szCs w:val="18"/>
        </w:rPr>
        <w:t xml:space="preserve"> </w:t>
      </w:r>
    </w:p>
    <w:p w14:paraId="4C4755E4" w14:textId="77777777" w:rsidR="00754B3A" w:rsidRDefault="00754B3A" w:rsidP="00754B3A">
      <w:pPr>
        <w:pStyle w:val="NoSpacing"/>
        <w:numPr>
          <w:ilvl w:val="0"/>
          <w:numId w:val="4"/>
        </w:numPr>
        <w:jc w:val="both"/>
        <w:rPr>
          <w:rFonts w:ascii="Arial" w:hAnsi="Arial" w:cs="Arial"/>
          <w:b/>
          <w:color w:val="000000"/>
          <w:sz w:val="18"/>
          <w:szCs w:val="18"/>
        </w:rPr>
      </w:pPr>
      <w:r w:rsidRPr="002131EE">
        <w:rPr>
          <w:rFonts w:ascii="Arial" w:hAnsi="Arial" w:cs="Arial"/>
          <w:b/>
          <w:color w:val="000000"/>
          <w:sz w:val="18"/>
          <w:szCs w:val="18"/>
        </w:rPr>
        <w:t>The ability of a judge to increase fines if a city or county fails to make “progress in meeting its target RHNA” should be changed to instead allow increased fees based on an accounting of applications received and applications approved/entitled.  There is no requirement for a city or county to build housing to meet the RHNA.</w:t>
      </w:r>
    </w:p>
    <w:p w14:paraId="4412E69F" w14:textId="77777777" w:rsidR="003F0F00" w:rsidRDefault="003F0F00" w:rsidP="003F0F00">
      <w:pPr>
        <w:pStyle w:val="NoSpacing"/>
        <w:jc w:val="both"/>
        <w:rPr>
          <w:rFonts w:ascii="Arial" w:hAnsi="Arial" w:cs="Arial"/>
          <w:b/>
          <w:color w:val="000000"/>
          <w:sz w:val="18"/>
          <w:szCs w:val="18"/>
        </w:rPr>
      </w:pPr>
    </w:p>
    <w:p w14:paraId="30E91A51" w14:textId="6974E21A" w:rsidR="003F0F00" w:rsidRPr="005A1251" w:rsidRDefault="003F0F00" w:rsidP="003F0F00">
      <w:pPr>
        <w:pStyle w:val="NoSpacing"/>
        <w:jc w:val="both"/>
        <w:rPr>
          <w:rFonts w:ascii="Arial" w:hAnsi="Arial" w:cs="Arial"/>
          <w:b/>
          <w:color w:val="000000"/>
          <w:sz w:val="20"/>
          <w:szCs w:val="20"/>
        </w:rPr>
      </w:pPr>
      <w:r w:rsidRPr="005A1251">
        <w:rPr>
          <w:rFonts w:ascii="Arial" w:hAnsi="Arial" w:cs="Arial"/>
          <w:b/>
          <w:color w:val="000000"/>
          <w:sz w:val="20"/>
          <w:szCs w:val="20"/>
        </w:rPr>
        <w:t>AB 879 – New Housing Element Mandates</w:t>
      </w:r>
    </w:p>
    <w:p w14:paraId="4A193EEF" w14:textId="20AA97E0" w:rsidR="003F0F00" w:rsidRPr="005A1251" w:rsidRDefault="003F0F00" w:rsidP="003F0F00">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5A1251">
        <w:rPr>
          <w:rFonts w:ascii="Arial" w:hAnsi="Arial" w:cs="Arial"/>
          <w:i/>
          <w:color w:val="000000"/>
          <w:sz w:val="20"/>
          <w:szCs w:val="20"/>
        </w:rPr>
        <w:t xml:space="preserve">Position: Oppose Unless Amended – </w:t>
      </w:r>
      <w:r w:rsidRPr="005A1251">
        <w:rPr>
          <w:rFonts w:ascii="Arial" w:hAnsi="Arial" w:cs="Arial"/>
          <w:b/>
          <w:i/>
          <w:color w:val="000000"/>
          <w:sz w:val="20"/>
          <w:szCs w:val="20"/>
        </w:rPr>
        <w:t>May Be</w:t>
      </w:r>
      <w:r w:rsidRPr="005A1251">
        <w:rPr>
          <w:rFonts w:ascii="Arial" w:hAnsi="Arial" w:cs="Arial"/>
          <w:i/>
          <w:color w:val="000000"/>
          <w:sz w:val="20"/>
          <w:szCs w:val="20"/>
        </w:rPr>
        <w:t xml:space="preserve"> </w:t>
      </w:r>
      <w:r w:rsidRPr="005A1251">
        <w:rPr>
          <w:rFonts w:ascii="Arial" w:hAnsi="Arial" w:cs="Arial"/>
          <w:b/>
          <w:i/>
          <w:color w:val="000000"/>
          <w:sz w:val="20"/>
          <w:szCs w:val="20"/>
        </w:rPr>
        <w:t>Part of the Governor’s Housing Package</w:t>
      </w:r>
    </w:p>
    <w:p w14:paraId="2426402C" w14:textId="45902BDE" w:rsidR="003F0F00" w:rsidRPr="005A1251" w:rsidRDefault="003F0F00" w:rsidP="003F0F00">
      <w:pPr>
        <w:pStyle w:val="NoSpacing"/>
        <w:jc w:val="both"/>
        <w:rPr>
          <w:rFonts w:ascii="Arial" w:hAnsi="Arial" w:cs="Arial"/>
          <w:i/>
          <w:color w:val="000000"/>
          <w:sz w:val="20"/>
          <w:szCs w:val="20"/>
        </w:rPr>
      </w:pPr>
      <w:r w:rsidRPr="005A1251">
        <w:rPr>
          <w:rFonts w:ascii="Arial" w:hAnsi="Arial" w:cs="Arial"/>
          <w:i/>
          <w:color w:val="000000"/>
          <w:sz w:val="20"/>
          <w:szCs w:val="20"/>
        </w:rPr>
        <w:t>Location: On Senate Floor</w:t>
      </w:r>
    </w:p>
    <w:p w14:paraId="1E3EFDB4" w14:textId="6E342B11" w:rsidR="005A1251" w:rsidRPr="00107806" w:rsidRDefault="005A1251" w:rsidP="005A1251">
      <w:pPr>
        <w:pStyle w:val="NoSpacing"/>
        <w:jc w:val="both"/>
        <w:rPr>
          <w:rFonts w:ascii="Arial" w:hAnsi="Arial" w:cs="Arial"/>
          <w:sz w:val="18"/>
          <w:szCs w:val="18"/>
        </w:rPr>
      </w:pPr>
      <w:r w:rsidRPr="005A1251">
        <w:rPr>
          <w:rFonts w:ascii="Arial" w:hAnsi="Arial" w:cs="Arial"/>
          <w:sz w:val="20"/>
          <w:szCs w:val="20"/>
        </w:rPr>
        <w:t xml:space="preserve">Recent amendments to AB 879 have moved our position from support to oppose.  </w:t>
      </w:r>
      <w:r w:rsidRPr="005A1251">
        <w:rPr>
          <w:rFonts w:ascii="Arial" w:hAnsi="Arial" w:cs="Arial"/>
          <w:b/>
          <w:sz w:val="20"/>
          <w:szCs w:val="20"/>
        </w:rPr>
        <w:t>They should be removed:</w:t>
      </w:r>
    </w:p>
    <w:p w14:paraId="71979FB7" w14:textId="45E757EB" w:rsidR="005A1251" w:rsidRPr="00474CF5" w:rsidRDefault="005A1251" w:rsidP="005A1251">
      <w:pPr>
        <w:pStyle w:val="NoSpacing"/>
        <w:numPr>
          <w:ilvl w:val="0"/>
          <w:numId w:val="4"/>
        </w:numPr>
        <w:jc w:val="both"/>
        <w:rPr>
          <w:rFonts w:ascii="Arial" w:hAnsi="Arial" w:cs="Arial"/>
          <w:color w:val="000000" w:themeColor="text1"/>
          <w:sz w:val="18"/>
          <w:szCs w:val="18"/>
        </w:rPr>
      </w:pPr>
      <w:r w:rsidRPr="00107806">
        <w:rPr>
          <w:rFonts w:ascii="Arial" w:hAnsi="Arial" w:cs="Arial"/>
          <w:b/>
          <w:color w:val="000000" w:themeColor="text1"/>
          <w:sz w:val="18"/>
          <w:szCs w:val="18"/>
          <w:u w:val="single"/>
        </w:rPr>
        <w:t xml:space="preserve">Requires mitigation fees to be substantially reduced </w:t>
      </w:r>
      <w:r w:rsidR="00B70356">
        <w:rPr>
          <w:rFonts w:ascii="Arial" w:hAnsi="Arial" w:cs="Arial"/>
          <w:b/>
          <w:color w:val="000000" w:themeColor="text1"/>
          <w:sz w:val="18"/>
          <w:szCs w:val="18"/>
          <w:u w:val="single"/>
        </w:rPr>
        <w:t xml:space="preserve">through a new HCD report </w:t>
      </w:r>
      <w:r w:rsidRPr="00107806">
        <w:rPr>
          <w:rFonts w:ascii="Arial" w:hAnsi="Arial" w:cs="Arial"/>
          <w:b/>
          <w:color w:val="000000" w:themeColor="text1"/>
          <w:sz w:val="18"/>
          <w:szCs w:val="18"/>
          <w:u w:val="single"/>
        </w:rPr>
        <w:t>without providing other funding for services and infrastructure to serve new development</w:t>
      </w:r>
      <w:r>
        <w:rPr>
          <w:rFonts w:ascii="Arial" w:hAnsi="Arial" w:cs="Arial"/>
          <w:b/>
          <w:color w:val="000000" w:themeColor="text1"/>
          <w:sz w:val="18"/>
          <w:szCs w:val="18"/>
          <w:u w:val="single"/>
        </w:rPr>
        <w:t xml:space="preserve">, </w:t>
      </w:r>
      <w:r w:rsidRPr="00474CF5">
        <w:rPr>
          <w:rFonts w:ascii="Arial" w:hAnsi="Arial" w:cs="Arial"/>
          <w:b/>
          <w:color w:val="000000" w:themeColor="text1"/>
          <w:sz w:val="18"/>
          <w:szCs w:val="18"/>
          <w:u w:val="single"/>
        </w:rPr>
        <w:t>and undermines a US Supreme Court Decision.</w:t>
      </w:r>
      <w:r w:rsidRPr="00474CF5">
        <w:rPr>
          <w:rFonts w:ascii="Arial" w:hAnsi="Arial" w:cs="Arial"/>
          <w:color w:val="000000" w:themeColor="text1"/>
          <w:sz w:val="18"/>
          <w:szCs w:val="18"/>
        </w:rPr>
        <w:t xml:space="preserve"> </w:t>
      </w:r>
      <w:r>
        <w:rPr>
          <w:rFonts w:ascii="Arial" w:eastAsia="Times New Roman" w:hAnsi="Arial" w:cs="Arial"/>
          <w:color w:val="000000" w:themeColor="text1"/>
          <w:sz w:val="18"/>
          <w:szCs w:val="18"/>
          <w:shd w:val="clear" w:color="auto" w:fill="FFFFFF"/>
        </w:rPr>
        <w:t>California’s</w:t>
      </w:r>
      <w:r w:rsidRPr="00474CF5">
        <w:rPr>
          <w:rFonts w:ascii="Arial" w:eastAsia="Times New Roman" w:hAnsi="Arial" w:cs="Arial"/>
          <w:color w:val="000000" w:themeColor="text1"/>
          <w:sz w:val="18"/>
          <w:szCs w:val="18"/>
          <w:shd w:val="clear" w:color="auto" w:fill="FFFFFF"/>
        </w:rPr>
        <w:t xml:space="preserve"> existing Mitigation Fee Act implements the US Supreme Court’s requirement that local infrastructure fees must be based on the impact of a project and only cover the cost of the infrastructure necessary to serve the project. </w:t>
      </w:r>
      <w:r w:rsidRPr="007B0F3D">
        <w:rPr>
          <w:rFonts w:ascii="Arial" w:eastAsia="Times New Roman" w:hAnsi="Arial" w:cs="Arial"/>
          <w:color w:val="000000" w:themeColor="text1"/>
          <w:sz w:val="18"/>
          <w:szCs w:val="18"/>
          <w:shd w:val="clear" w:color="auto" w:fill="FFFFFF"/>
        </w:rPr>
        <w:t>This bill will undermine that US Supreme Court decision.</w:t>
      </w:r>
      <w:r w:rsidRPr="00474CF5">
        <w:rPr>
          <w:rFonts w:ascii="Arial" w:eastAsia="Times New Roman" w:hAnsi="Arial" w:cs="Arial"/>
          <w:color w:val="000000" w:themeColor="text1"/>
          <w:sz w:val="18"/>
          <w:szCs w:val="18"/>
          <w:shd w:val="clear" w:color="auto" w:fill="FFFFFF"/>
        </w:rPr>
        <w:t xml:space="preserve"> </w:t>
      </w:r>
      <w:r>
        <w:rPr>
          <w:rFonts w:ascii="Arial" w:eastAsia="Times New Roman" w:hAnsi="Arial" w:cs="Arial"/>
          <w:color w:val="000000" w:themeColor="text1"/>
          <w:sz w:val="18"/>
          <w:szCs w:val="18"/>
          <w:shd w:val="clear" w:color="auto" w:fill="FFFFFF"/>
        </w:rPr>
        <w:t xml:space="preserve">Additionally, </w:t>
      </w:r>
      <w:r w:rsidRPr="00474CF5">
        <w:rPr>
          <w:rFonts w:ascii="Arial" w:hAnsi="Arial" w:cs="Arial"/>
          <w:color w:val="000000" w:themeColor="text1"/>
          <w:sz w:val="18"/>
          <w:szCs w:val="18"/>
        </w:rPr>
        <w:t>a</w:t>
      </w:r>
      <w:r w:rsidR="00B70356">
        <w:rPr>
          <w:rFonts w:ascii="Arial" w:hAnsi="Arial" w:cs="Arial"/>
          <w:color w:val="000000" w:themeColor="text1"/>
          <w:sz w:val="18"/>
          <w:szCs w:val="18"/>
        </w:rPr>
        <w:t xml:space="preserve"> blanket statement for HCD to complete a report to</w:t>
      </w:r>
      <w:r w:rsidRPr="00474CF5">
        <w:rPr>
          <w:rFonts w:ascii="Arial" w:hAnsi="Arial" w:cs="Arial"/>
          <w:color w:val="000000" w:themeColor="text1"/>
          <w:sz w:val="18"/>
          <w:szCs w:val="18"/>
        </w:rPr>
        <w:t xml:space="preserve"> “substantially” reduce fees </w:t>
      </w:r>
      <w:r w:rsidR="00B70356">
        <w:rPr>
          <w:rFonts w:ascii="Arial" w:hAnsi="Arial" w:cs="Arial"/>
          <w:color w:val="000000" w:themeColor="text1"/>
          <w:sz w:val="18"/>
          <w:szCs w:val="18"/>
        </w:rPr>
        <w:t xml:space="preserve">– a conclusion before the report is even begun - </w:t>
      </w:r>
      <w:r w:rsidRPr="00474CF5">
        <w:rPr>
          <w:rFonts w:ascii="Arial" w:hAnsi="Arial" w:cs="Arial"/>
          <w:color w:val="000000" w:themeColor="text1"/>
          <w:sz w:val="18"/>
          <w:szCs w:val="18"/>
        </w:rPr>
        <w:t>will not fund infrastructure and services needed to serve new housing.</w:t>
      </w:r>
    </w:p>
    <w:p w14:paraId="60D73650" w14:textId="3E96BE01" w:rsidR="005A1251" w:rsidRPr="00107806" w:rsidRDefault="005A1251" w:rsidP="005A1251">
      <w:pPr>
        <w:pStyle w:val="NoSpacing"/>
        <w:numPr>
          <w:ilvl w:val="0"/>
          <w:numId w:val="4"/>
        </w:numPr>
        <w:jc w:val="both"/>
        <w:rPr>
          <w:rFonts w:ascii="Arial" w:hAnsi="Arial" w:cs="Arial"/>
          <w:color w:val="000000" w:themeColor="text1"/>
          <w:sz w:val="18"/>
          <w:szCs w:val="18"/>
        </w:rPr>
      </w:pPr>
      <w:r w:rsidRPr="00107806">
        <w:rPr>
          <w:rFonts w:ascii="Arial" w:hAnsi="Arial" w:cs="Arial"/>
          <w:b/>
          <w:color w:val="000000" w:themeColor="text1"/>
          <w:sz w:val="18"/>
          <w:szCs w:val="18"/>
          <w:u w:val="single"/>
        </w:rPr>
        <w:t xml:space="preserve">Adds substantial analysis to the housing </w:t>
      </w:r>
      <w:r w:rsidRPr="007B0F3D">
        <w:rPr>
          <w:rFonts w:ascii="Arial" w:hAnsi="Arial" w:cs="Arial"/>
          <w:b/>
          <w:color w:val="000000" w:themeColor="text1"/>
          <w:sz w:val="18"/>
          <w:szCs w:val="18"/>
          <w:u w:val="single"/>
        </w:rPr>
        <w:t>element by requiring the analysis of governmental constraints in the housing element to include any ordinances that directly impact the cost and supply of residential development.</w:t>
      </w:r>
      <w:r w:rsidRPr="00107806">
        <w:rPr>
          <w:rFonts w:ascii="Arial" w:hAnsi="Arial" w:cs="Arial"/>
          <w:color w:val="000000" w:themeColor="text1"/>
          <w:sz w:val="18"/>
          <w:szCs w:val="18"/>
        </w:rPr>
        <w:t xml:space="preserve"> All ordinances could be determined to impact the cost of housing including critical ordinances like utility infrastructure such as sewer and water connection fees not under the control of local governments; drought requirements; building and fire code requirements like fire sprinklers; lighting; fencing; and, road and other infrastructure improvements.</w:t>
      </w:r>
      <w:r w:rsidRPr="00107806">
        <w:rPr>
          <w:rFonts w:ascii="Arial" w:hAnsi="Arial" w:cs="Arial"/>
          <w:b/>
          <w:color w:val="000000" w:themeColor="text1"/>
          <w:sz w:val="18"/>
          <w:szCs w:val="18"/>
        </w:rPr>
        <w:t xml:space="preserve"> </w:t>
      </w:r>
      <w:r w:rsidRPr="00107806">
        <w:rPr>
          <w:rFonts w:ascii="Arial" w:hAnsi="Arial" w:cs="Arial"/>
          <w:color w:val="000000" w:themeColor="text1"/>
          <w:sz w:val="18"/>
          <w:szCs w:val="18"/>
        </w:rPr>
        <w:t>If there is something of specific concern, that should be addressed directly rather than requiring a review of every single local ordinance.</w:t>
      </w:r>
    </w:p>
    <w:p w14:paraId="3B4B82D7" w14:textId="77777777" w:rsidR="005A1251" w:rsidRPr="00C31203" w:rsidRDefault="005A1251" w:rsidP="005A1251">
      <w:pPr>
        <w:pStyle w:val="NoSpacing"/>
        <w:numPr>
          <w:ilvl w:val="0"/>
          <w:numId w:val="4"/>
        </w:numPr>
        <w:jc w:val="both"/>
        <w:rPr>
          <w:rFonts w:ascii="Arial" w:hAnsi="Arial" w:cs="Arial"/>
          <w:b/>
          <w:color w:val="000000" w:themeColor="text1"/>
          <w:sz w:val="18"/>
          <w:szCs w:val="18"/>
          <w:u w:val="single"/>
        </w:rPr>
      </w:pPr>
      <w:r w:rsidRPr="00C31203">
        <w:rPr>
          <w:rFonts w:ascii="Arial" w:hAnsi="Arial" w:cs="Arial"/>
          <w:b/>
          <w:color w:val="000000" w:themeColor="text1"/>
          <w:sz w:val="18"/>
          <w:szCs w:val="18"/>
          <w:u w:val="single"/>
        </w:rPr>
        <w:t>Imposes an unfunded mandate to be paid by fees imposed on new housing projects</w:t>
      </w:r>
      <w:r>
        <w:rPr>
          <w:rFonts w:ascii="Arial" w:hAnsi="Arial" w:cs="Arial"/>
          <w:b/>
          <w:color w:val="000000" w:themeColor="text1"/>
          <w:sz w:val="18"/>
          <w:szCs w:val="18"/>
          <w:u w:val="single"/>
        </w:rPr>
        <w:t>.</w:t>
      </w:r>
    </w:p>
    <w:p w14:paraId="652E2671"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3685AF18"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273085">
        <w:rPr>
          <w:rFonts w:ascii="Arial" w:hAnsi="Arial" w:cs="Arial"/>
          <w:b/>
          <w:color w:val="000000"/>
          <w:sz w:val="20"/>
          <w:szCs w:val="20"/>
        </w:rPr>
        <w:t xml:space="preserve">AB 1397 – Restrictions on Adequate Sites in Housing Element </w:t>
      </w:r>
    </w:p>
    <w:p w14:paraId="47988A9B" w14:textId="77777777" w:rsidR="002A689F" w:rsidRPr="005A1251" w:rsidRDefault="00871190" w:rsidP="002A689F">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 </w:t>
      </w:r>
      <w:r w:rsidR="002A689F" w:rsidRPr="005A1251">
        <w:rPr>
          <w:rFonts w:ascii="Arial" w:hAnsi="Arial" w:cs="Arial"/>
          <w:i/>
          <w:color w:val="000000"/>
          <w:sz w:val="20"/>
          <w:szCs w:val="20"/>
        </w:rPr>
        <w:t xml:space="preserve">Position: Oppose Unless Amended – </w:t>
      </w:r>
      <w:r w:rsidR="002A689F" w:rsidRPr="005A1251">
        <w:rPr>
          <w:rFonts w:ascii="Arial" w:hAnsi="Arial" w:cs="Arial"/>
          <w:b/>
          <w:i/>
          <w:color w:val="000000"/>
          <w:sz w:val="20"/>
          <w:szCs w:val="20"/>
        </w:rPr>
        <w:t>May Be</w:t>
      </w:r>
      <w:r w:rsidR="002A689F" w:rsidRPr="005A1251">
        <w:rPr>
          <w:rFonts w:ascii="Arial" w:hAnsi="Arial" w:cs="Arial"/>
          <w:i/>
          <w:color w:val="000000"/>
          <w:sz w:val="20"/>
          <w:szCs w:val="20"/>
        </w:rPr>
        <w:t xml:space="preserve"> </w:t>
      </w:r>
      <w:r w:rsidR="002A689F" w:rsidRPr="005A1251">
        <w:rPr>
          <w:rFonts w:ascii="Arial" w:hAnsi="Arial" w:cs="Arial"/>
          <w:b/>
          <w:i/>
          <w:color w:val="000000"/>
          <w:sz w:val="20"/>
          <w:szCs w:val="20"/>
        </w:rPr>
        <w:t>Part of the Governor’s Housing Package</w:t>
      </w:r>
    </w:p>
    <w:p w14:paraId="420A2CA2" w14:textId="77777777" w:rsidR="002A689F" w:rsidRPr="005A1251" w:rsidRDefault="002A689F" w:rsidP="002A689F">
      <w:pPr>
        <w:pStyle w:val="NoSpacing"/>
        <w:jc w:val="both"/>
        <w:rPr>
          <w:rFonts w:ascii="Arial" w:hAnsi="Arial" w:cs="Arial"/>
          <w:i/>
          <w:color w:val="000000"/>
          <w:sz w:val="20"/>
          <w:szCs w:val="20"/>
        </w:rPr>
      </w:pPr>
      <w:r w:rsidRPr="005A1251">
        <w:rPr>
          <w:rFonts w:ascii="Arial" w:hAnsi="Arial" w:cs="Arial"/>
          <w:i/>
          <w:color w:val="000000"/>
          <w:sz w:val="20"/>
          <w:szCs w:val="20"/>
        </w:rPr>
        <w:t>Location: On Senate Floor</w:t>
      </w:r>
    </w:p>
    <w:p w14:paraId="7BE07F8B" w14:textId="293E9699" w:rsidR="005D6658" w:rsidRDefault="005D6658" w:rsidP="005D6658">
      <w:pPr>
        <w:widowControl w:val="0"/>
        <w:tabs>
          <w:tab w:val="left" w:pos="220"/>
          <w:tab w:val="left" w:pos="720"/>
          <w:tab w:val="left" w:pos="2427"/>
        </w:tabs>
        <w:autoSpaceDE w:val="0"/>
        <w:autoSpaceDN w:val="0"/>
        <w:adjustRightInd w:val="0"/>
        <w:jc w:val="both"/>
        <w:rPr>
          <w:rFonts w:ascii="Arial" w:hAnsi="Arial" w:cs="Arial"/>
          <w:color w:val="000000"/>
          <w:sz w:val="20"/>
          <w:szCs w:val="20"/>
        </w:rPr>
      </w:pPr>
      <w:r w:rsidRPr="00273085">
        <w:rPr>
          <w:rFonts w:ascii="Arial" w:hAnsi="Arial" w:cs="Arial"/>
          <w:color w:val="000000"/>
          <w:sz w:val="20"/>
          <w:szCs w:val="20"/>
        </w:rPr>
        <w:t xml:space="preserve">This bill would place restrictions on the ability of cities and counties to designate non-vacant sites as suitable for housing development and would require all designated sites to have water, sewer, and utilities available and accessible to support housing development during the planning period.  Many of the most onerous requirements for these sites in the original versions of the bill have already been removed. However, </w:t>
      </w:r>
      <w:r w:rsidR="002A689F">
        <w:rPr>
          <w:rFonts w:ascii="Arial" w:hAnsi="Arial" w:cs="Arial"/>
          <w:color w:val="000000"/>
          <w:sz w:val="20"/>
          <w:szCs w:val="20"/>
        </w:rPr>
        <w:t xml:space="preserve">many remain and would make finding adequate sites extremely difficult in future planning periods. </w:t>
      </w:r>
      <w:r w:rsidR="00B0209A">
        <w:rPr>
          <w:rFonts w:ascii="Arial" w:hAnsi="Arial" w:cs="Arial"/>
          <w:color w:val="000000"/>
          <w:sz w:val="20"/>
          <w:szCs w:val="20"/>
        </w:rPr>
        <w:t>APA is requesting the following amendments:</w:t>
      </w:r>
    </w:p>
    <w:p w14:paraId="620C798E" w14:textId="77777777" w:rsidR="00E82835" w:rsidRPr="002A689F" w:rsidRDefault="00E82835" w:rsidP="00E82835">
      <w:pPr>
        <w:pStyle w:val="NoSpacing"/>
        <w:numPr>
          <w:ilvl w:val="0"/>
          <w:numId w:val="4"/>
        </w:numPr>
        <w:jc w:val="both"/>
        <w:rPr>
          <w:b/>
        </w:rPr>
      </w:pPr>
      <w:r w:rsidRPr="002A689F">
        <w:rPr>
          <w:rFonts w:ascii="Arial" w:hAnsi="Arial" w:cs="Arial"/>
          <w:b/>
          <w:sz w:val="18"/>
          <w:szCs w:val="18"/>
        </w:rPr>
        <w:t>Ensure that built-out cities are able to identify adequate sites, as the bill places severe restrictions on the designation of sites to be redeveloped.</w:t>
      </w:r>
    </w:p>
    <w:p w14:paraId="666A0D60" w14:textId="77777777" w:rsidR="00E82835" w:rsidRPr="002A689F" w:rsidRDefault="00E82835" w:rsidP="00E82835">
      <w:pPr>
        <w:pStyle w:val="NoSpacing"/>
        <w:numPr>
          <w:ilvl w:val="0"/>
          <w:numId w:val="4"/>
        </w:numPr>
        <w:jc w:val="both"/>
        <w:rPr>
          <w:b/>
        </w:rPr>
      </w:pPr>
      <w:r w:rsidRPr="002A689F">
        <w:rPr>
          <w:rFonts w:ascii="Arial" w:hAnsi="Arial" w:cs="Arial"/>
          <w:b/>
          <w:sz w:val="18"/>
          <w:szCs w:val="18"/>
        </w:rPr>
        <w:t xml:space="preserve">Clarify that utility requirements can be determined based upon the information provided to the city and county by the utility provider. </w:t>
      </w:r>
    </w:p>
    <w:p w14:paraId="6E89F719" w14:textId="7ABCD25B" w:rsidR="005D6658" w:rsidRPr="002A689F" w:rsidRDefault="00E82835" w:rsidP="00FC1AE0">
      <w:pPr>
        <w:pStyle w:val="NoSpacing"/>
        <w:widowControl w:val="0"/>
        <w:numPr>
          <w:ilvl w:val="0"/>
          <w:numId w:val="4"/>
        </w:numPr>
        <w:tabs>
          <w:tab w:val="left" w:pos="220"/>
          <w:tab w:val="left" w:pos="720"/>
          <w:tab w:val="left" w:pos="2427"/>
        </w:tabs>
        <w:autoSpaceDE w:val="0"/>
        <w:autoSpaceDN w:val="0"/>
        <w:adjustRightInd w:val="0"/>
        <w:jc w:val="both"/>
        <w:rPr>
          <w:rFonts w:ascii="Arial" w:hAnsi="Arial" w:cs="Arial"/>
          <w:b/>
          <w:color w:val="000000"/>
          <w:sz w:val="20"/>
          <w:szCs w:val="20"/>
        </w:rPr>
      </w:pPr>
      <w:r w:rsidRPr="002A689F">
        <w:rPr>
          <w:rFonts w:ascii="Arial" w:hAnsi="Arial" w:cs="Arial"/>
          <w:b/>
          <w:sz w:val="18"/>
          <w:szCs w:val="18"/>
        </w:rPr>
        <w:t>Eliminate a new amendment requiring cities and counties to demonstrate local efforts to remove “non-governmental constraints” over which they have no control, including the cost of land or rental rates.</w:t>
      </w:r>
    </w:p>
    <w:p w14:paraId="38DEE864" w14:textId="77777777" w:rsidR="00892721" w:rsidRDefault="00892721" w:rsidP="00892721">
      <w:pPr>
        <w:pStyle w:val="NoSpacing"/>
        <w:widowControl w:val="0"/>
        <w:tabs>
          <w:tab w:val="left" w:pos="220"/>
          <w:tab w:val="left" w:pos="720"/>
          <w:tab w:val="left" w:pos="2427"/>
        </w:tabs>
        <w:autoSpaceDE w:val="0"/>
        <w:autoSpaceDN w:val="0"/>
        <w:adjustRightInd w:val="0"/>
        <w:jc w:val="both"/>
      </w:pPr>
    </w:p>
    <w:p w14:paraId="296BE8D2" w14:textId="4A42848C" w:rsidR="00892721" w:rsidRPr="002A689F" w:rsidRDefault="00892721" w:rsidP="00892721">
      <w:pPr>
        <w:pStyle w:val="NoSpacing"/>
        <w:widowControl w:val="0"/>
        <w:tabs>
          <w:tab w:val="left" w:pos="220"/>
          <w:tab w:val="left" w:pos="720"/>
          <w:tab w:val="left" w:pos="2427"/>
        </w:tabs>
        <w:autoSpaceDE w:val="0"/>
        <w:autoSpaceDN w:val="0"/>
        <w:adjustRightInd w:val="0"/>
        <w:jc w:val="both"/>
        <w:rPr>
          <w:rFonts w:ascii="Arial" w:hAnsi="Arial" w:cs="Arial"/>
          <w:b/>
          <w:sz w:val="20"/>
          <w:szCs w:val="20"/>
        </w:rPr>
      </w:pPr>
      <w:r w:rsidRPr="002A689F">
        <w:rPr>
          <w:rFonts w:ascii="Arial" w:hAnsi="Arial" w:cs="Arial"/>
          <w:b/>
          <w:sz w:val="20"/>
          <w:szCs w:val="20"/>
        </w:rPr>
        <w:t>AB 1505/SB 277 – Restoration of Inclusionary Housing Authority for Rental Units</w:t>
      </w:r>
    </w:p>
    <w:p w14:paraId="3935B393" w14:textId="681B825E" w:rsidR="00892721" w:rsidRPr="002A689F" w:rsidRDefault="00892721" w:rsidP="00892721">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A689F">
        <w:rPr>
          <w:rFonts w:ascii="Arial" w:hAnsi="Arial" w:cs="Arial"/>
          <w:i/>
          <w:color w:val="000000"/>
          <w:sz w:val="20"/>
          <w:szCs w:val="20"/>
        </w:rPr>
        <w:t xml:space="preserve">Position: Support – </w:t>
      </w:r>
      <w:r w:rsidRPr="002A689F">
        <w:rPr>
          <w:rFonts w:ascii="Arial" w:hAnsi="Arial" w:cs="Arial"/>
          <w:b/>
          <w:i/>
          <w:color w:val="000000"/>
          <w:sz w:val="20"/>
          <w:szCs w:val="20"/>
        </w:rPr>
        <w:t>May Be</w:t>
      </w:r>
      <w:r w:rsidRPr="002A689F">
        <w:rPr>
          <w:rFonts w:ascii="Arial" w:hAnsi="Arial" w:cs="Arial"/>
          <w:i/>
          <w:color w:val="000000"/>
          <w:sz w:val="20"/>
          <w:szCs w:val="20"/>
        </w:rPr>
        <w:t xml:space="preserve"> </w:t>
      </w:r>
      <w:r w:rsidRPr="002A689F">
        <w:rPr>
          <w:rFonts w:ascii="Arial" w:hAnsi="Arial" w:cs="Arial"/>
          <w:b/>
          <w:i/>
          <w:color w:val="000000"/>
          <w:sz w:val="20"/>
          <w:szCs w:val="20"/>
        </w:rPr>
        <w:t>Part of the Governor’s Housing Package</w:t>
      </w:r>
    </w:p>
    <w:p w14:paraId="5A861D91" w14:textId="2B340A36" w:rsidR="00892721" w:rsidRPr="002A689F" w:rsidRDefault="00892721" w:rsidP="00892721">
      <w:pPr>
        <w:pStyle w:val="NoSpacing"/>
        <w:widowControl w:val="0"/>
        <w:tabs>
          <w:tab w:val="left" w:pos="220"/>
          <w:tab w:val="left" w:pos="720"/>
          <w:tab w:val="left" w:pos="2427"/>
        </w:tabs>
        <w:autoSpaceDE w:val="0"/>
        <w:autoSpaceDN w:val="0"/>
        <w:adjustRightInd w:val="0"/>
        <w:jc w:val="both"/>
        <w:rPr>
          <w:rFonts w:ascii="Arial" w:hAnsi="Arial" w:cs="Arial"/>
          <w:sz w:val="20"/>
          <w:szCs w:val="20"/>
        </w:rPr>
      </w:pPr>
      <w:r w:rsidRPr="002A689F">
        <w:rPr>
          <w:rFonts w:ascii="Arial" w:hAnsi="Arial" w:cs="Arial"/>
          <w:i/>
          <w:color w:val="000000"/>
          <w:sz w:val="20"/>
          <w:szCs w:val="20"/>
        </w:rPr>
        <w:t>Location: On Senate Floor</w:t>
      </w:r>
      <w:r w:rsidR="0070260E">
        <w:rPr>
          <w:rFonts w:ascii="Arial" w:hAnsi="Arial" w:cs="Arial"/>
          <w:i/>
          <w:color w:val="000000"/>
          <w:sz w:val="20"/>
          <w:szCs w:val="20"/>
        </w:rPr>
        <w:t>/On Assembly Floor</w:t>
      </w:r>
    </w:p>
    <w:p w14:paraId="18A3E5D0" w14:textId="75DFDCC4" w:rsidR="00892721" w:rsidRPr="002A689F" w:rsidRDefault="00892721" w:rsidP="00892721">
      <w:pPr>
        <w:jc w:val="both"/>
        <w:rPr>
          <w:rFonts w:ascii="Arial" w:eastAsia="Times New Roman" w:hAnsi="Arial" w:cs="Arial"/>
          <w:sz w:val="20"/>
          <w:szCs w:val="20"/>
        </w:rPr>
      </w:pPr>
      <w:r w:rsidRPr="002A689F">
        <w:rPr>
          <w:rFonts w:ascii="Arial" w:eastAsia="Times New Roman" w:hAnsi="Arial" w:cs="Arial"/>
          <w:color w:val="000000"/>
          <w:sz w:val="20"/>
          <w:szCs w:val="20"/>
        </w:rPr>
        <w:t>These bills clarify the Legislature’s intent to supersede the holding in the </w:t>
      </w:r>
      <w:r w:rsidRPr="002A689F">
        <w:rPr>
          <w:rFonts w:ascii="Arial" w:eastAsia="Times New Roman" w:hAnsi="Arial" w:cs="Arial"/>
          <w:i/>
          <w:iCs/>
          <w:color w:val="000000"/>
          <w:sz w:val="20"/>
          <w:szCs w:val="20"/>
        </w:rPr>
        <w:t>Palmer/Sixth Street Properties L.P. v. City of Los Angeles </w:t>
      </w:r>
      <w:r w:rsidRPr="002A689F">
        <w:rPr>
          <w:rFonts w:ascii="Arial" w:eastAsia="Times New Roman" w:hAnsi="Arial" w:cs="Arial"/>
          <w:color w:val="000000"/>
          <w:sz w:val="20"/>
          <w:szCs w:val="20"/>
        </w:rPr>
        <w:t>decision, to the extent that the decision conflicts with a local jurisdiction’s authority to impose inclusionary housing ordinances on rental projects. As inclusionary requirements are one of the few options cities and counties have to increase affordable rental housing, this is an important clarification. Unfortunately, the Governor has expressed concerns that this bill could increase the cost of housing and has not yet decided if they should be included in his final housing package.</w:t>
      </w:r>
    </w:p>
    <w:p w14:paraId="5449AC82" w14:textId="77777777" w:rsidR="00892721" w:rsidRPr="002A689F" w:rsidRDefault="00892721" w:rsidP="00892721">
      <w:pPr>
        <w:pStyle w:val="NoSpacing"/>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3DD960CF" w14:textId="703E02C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273085">
        <w:rPr>
          <w:rFonts w:ascii="Arial" w:hAnsi="Arial" w:cs="Arial"/>
          <w:b/>
          <w:color w:val="000000"/>
          <w:sz w:val="20"/>
          <w:szCs w:val="20"/>
        </w:rPr>
        <w:t xml:space="preserve">AB 1515 </w:t>
      </w:r>
      <w:r w:rsidR="00161E0A">
        <w:rPr>
          <w:rFonts w:ascii="Arial" w:hAnsi="Arial" w:cs="Arial"/>
          <w:b/>
          <w:color w:val="000000"/>
          <w:sz w:val="20"/>
          <w:szCs w:val="20"/>
        </w:rPr>
        <w:t>–</w:t>
      </w:r>
      <w:r w:rsidR="0031267B">
        <w:rPr>
          <w:rFonts w:ascii="Arial" w:hAnsi="Arial" w:cs="Arial"/>
          <w:b/>
          <w:color w:val="000000"/>
          <w:sz w:val="20"/>
          <w:szCs w:val="20"/>
        </w:rPr>
        <w:t xml:space="preserve"> </w:t>
      </w:r>
      <w:r w:rsidR="00161E0A">
        <w:rPr>
          <w:rFonts w:ascii="Arial" w:hAnsi="Arial" w:cs="Arial"/>
          <w:b/>
          <w:color w:val="000000"/>
          <w:sz w:val="20"/>
          <w:szCs w:val="20"/>
        </w:rPr>
        <w:t>Deemed Consistent Standard for General Plan and Zoning Determinations in HAA</w:t>
      </w:r>
    </w:p>
    <w:p w14:paraId="5763C03C" w14:textId="4CF5A8B1"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Position: Oppose</w:t>
      </w:r>
      <w:r w:rsidR="00161E0A">
        <w:rPr>
          <w:rFonts w:ascii="Arial" w:hAnsi="Arial" w:cs="Arial"/>
          <w:i/>
          <w:color w:val="000000"/>
          <w:sz w:val="20"/>
          <w:szCs w:val="20"/>
        </w:rPr>
        <w:t xml:space="preserve"> </w:t>
      </w:r>
      <w:r w:rsidR="002A689F">
        <w:rPr>
          <w:rFonts w:ascii="Arial" w:hAnsi="Arial" w:cs="Arial"/>
          <w:i/>
          <w:color w:val="000000"/>
          <w:sz w:val="20"/>
          <w:szCs w:val="20"/>
        </w:rPr>
        <w:t>–</w:t>
      </w:r>
      <w:r w:rsidR="00161E0A">
        <w:rPr>
          <w:rFonts w:ascii="Arial" w:hAnsi="Arial" w:cs="Arial"/>
          <w:i/>
          <w:color w:val="000000"/>
          <w:sz w:val="20"/>
          <w:szCs w:val="20"/>
        </w:rPr>
        <w:t xml:space="preserve"> </w:t>
      </w:r>
      <w:r w:rsidR="002A689F" w:rsidRPr="002A689F">
        <w:rPr>
          <w:rFonts w:ascii="Arial" w:hAnsi="Arial" w:cs="Arial"/>
          <w:b/>
          <w:i/>
          <w:color w:val="000000"/>
          <w:sz w:val="20"/>
          <w:szCs w:val="20"/>
        </w:rPr>
        <w:t>May Be</w:t>
      </w:r>
      <w:r w:rsidR="002A689F">
        <w:rPr>
          <w:rFonts w:ascii="Arial" w:hAnsi="Arial" w:cs="Arial"/>
          <w:i/>
          <w:color w:val="000000"/>
          <w:sz w:val="20"/>
          <w:szCs w:val="20"/>
        </w:rPr>
        <w:t xml:space="preserve"> </w:t>
      </w:r>
      <w:r w:rsidR="00161E0A" w:rsidRPr="00D82C09">
        <w:rPr>
          <w:rFonts w:ascii="Arial" w:hAnsi="Arial" w:cs="Arial"/>
          <w:b/>
          <w:i/>
          <w:color w:val="000000"/>
          <w:sz w:val="20"/>
          <w:szCs w:val="20"/>
        </w:rPr>
        <w:t>Part of the Governor’s Housing Package</w:t>
      </w:r>
    </w:p>
    <w:p w14:paraId="28D2B23D" w14:textId="265624BA"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Location:</w:t>
      </w:r>
      <w:r w:rsidR="00161E0A">
        <w:rPr>
          <w:rFonts w:ascii="Arial" w:hAnsi="Arial" w:cs="Arial"/>
          <w:i/>
          <w:color w:val="000000"/>
          <w:sz w:val="20"/>
          <w:szCs w:val="20"/>
        </w:rPr>
        <w:t xml:space="preserve"> On</w:t>
      </w:r>
      <w:r w:rsidRPr="00273085">
        <w:rPr>
          <w:rFonts w:ascii="Arial" w:hAnsi="Arial" w:cs="Arial"/>
          <w:i/>
          <w:color w:val="000000"/>
          <w:sz w:val="20"/>
          <w:szCs w:val="20"/>
        </w:rPr>
        <w:t xml:space="preserve"> Senate </w:t>
      </w:r>
      <w:r w:rsidR="00161E0A">
        <w:rPr>
          <w:rFonts w:ascii="Arial" w:hAnsi="Arial" w:cs="Arial"/>
          <w:i/>
          <w:color w:val="000000"/>
          <w:sz w:val="20"/>
          <w:szCs w:val="20"/>
        </w:rPr>
        <w:t>Floor</w:t>
      </w:r>
      <w:r w:rsidR="00871190">
        <w:rPr>
          <w:rFonts w:ascii="Arial" w:hAnsi="Arial" w:cs="Arial"/>
          <w:i/>
          <w:color w:val="000000"/>
          <w:sz w:val="20"/>
          <w:szCs w:val="20"/>
        </w:rPr>
        <w:t xml:space="preserve"> </w:t>
      </w:r>
    </w:p>
    <w:p w14:paraId="360C8BFA" w14:textId="08636B95" w:rsidR="005D6658" w:rsidRPr="006E25C7" w:rsidRDefault="005D6658" w:rsidP="00892721">
      <w:pPr>
        <w:pStyle w:val="NoSpacing"/>
        <w:jc w:val="both"/>
        <w:rPr>
          <w:rFonts w:ascii="Arial" w:hAnsi="Arial" w:cs="Arial"/>
          <w:spacing w:val="10"/>
          <w:sz w:val="20"/>
          <w:szCs w:val="20"/>
        </w:rPr>
      </w:pPr>
      <w:r w:rsidRPr="006E25C7">
        <w:rPr>
          <w:rFonts w:ascii="Arial" w:hAnsi="Arial" w:cs="Arial"/>
          <w:color w:val="000000"/>
          <w:sz w:val="20"/>
          <w:szCs w:val="20"/>
        </w:rPr>
        <w:t xml:space="preserve">This bill specifies that a housing development project or emergency shelter is </w:t>
      </w:r>
      <w:r w:rsidR="00BC6D2A" w:rsidRPr="006E25C7">
        <w:rPr>
          <w:rFonts w:ascii="Arial" w:hAnsi="Arial" w:cs="Arial"/>
          <w:color w:val="000000"/>
          <w:sz w:val="20"/>
          <w:szCs w:val="20"/>
        </w:rPr>
        <w:t>“</w:t>
      </w:r>
      <w:r w:rsidRPr="006E25C7">
        <w:rPr>
          <w:rFonts w:ascii="Arial" w:hAnsi="Arial" w:cs="Arial"/>
          <w:color w:val="000000"/>
          <w:sz w:val="20"/>
          <w:szCs w:val="20"/>
        </w:rPr>
        <w:t>deemed consistent, compliant, and in conformity with an applicable plan, program, policy, ordinance, standard, requirement, or other similar provision</w:t>
      </w:r>
      <w:r w:rsidR="00BC6D2A" w:rsidRPr="006E25C7">
        <w:rPr>
          <w:rFonts w:ascii="Arial" w:hAnsi="Arial" w:cs="Arial"/>
          <w:color w:val="000000"/>
          <w:sz w:val="20"/>
          <w:szCs w:val="20"/>
        </w:rPr>
        <w:t>”</w:t>
      </w:r>
      <w:r w:rsidRPr="006E25C7">
        <w:rPr>
          <w:rFonts w:ascii="Arial" w:hAnsi="Arial" w:cs="Arial"/>
          <w:color w:val="000000"/>
          <w:sz w:val="20"/>
          <w:szCs w:val="20"/>
        </w:rPr>
        <w:t xml:space="preserve"> if there is substantial evidence that would allow a reasonable person to conclude that the housing development project or emergency shelter is consistent, compliant, or in conformity, pursuant to the HAA. </w:t>
      </w:r>
      <w:r w:rsidR="00892721" w:rsidRPr="006E25C7">
        <w:rPr>
          <w:rFonts w:ascii="Arial" w:hAnsi="Arial" w:cs="Arial"/>
          <w:sz w:val="20"/>
          <w:szCs w:val="20"/>
        </w:rPr>
        <w:t xml:space="preserve"> </w:t>
      </w:r>
      <w:r w:rsidR="006E25C7">
        <w:rPr>
          <w:rFonts w:ascii="Arial" w:hAnsi="Arial" w:cs="Arial"/>
          <w:sz w:val="20"/>
          <w:szCs w:val="20"/>
        </w:rPr>
        <w:t xml:space="preserve">APA has </w:t>
      </w:r>
      <w:r w:rsidR="00892721" w:rsidRPr="006E25C7">
        <w:rPr>
          <w:rFonts w:ascii="Arial" w:hAnsi="Arial" w:cs="Arial"/>
          <w:sz w:val="20"/>
          <w:szCs w:val="20"/>
        </w:rPr>
        <w:t xml:space="preserve">no problem with the “reasonable person” portion of this new standard.  </w:t>
      </w:r>
      <w:r w:rsidR="00892721" w:rsidRPr="006E25C7">
        <w:rPr>
          <w:rFonts w:ascii="Arial" w:hAnsi="Arial" w:cs="Arial"/>
          <w:b/>
          <w:sz w:val="20"/>
          <w:szCs w:val="20"/>
        </w:rPr>
        <w:t xml:space="preserve">However, the “deemed consistent” automatic approval should be deleted - </w:t>
      </w:r>
      <w:r w:rsidR="00892721" w:rsidRPr="006E25C7">
        <w:rPr>
          <w:rFonts w:ascii="Arial" w:hAnsi="Arial" w:cs="Arial"/>
          <w:sz w:val="20"/>
          <w:szCs w:val="20"/>
        </w:rPr>
        <w:t xml:space="preserve">it goes too far </w:t>
      </w:r>
      <w:r w:rsidR="00892721" w:rsidRPr="006E25C7">
        <w:rPr>
          <w:rFonts w:ascii="Arial" w:hAnsi="Arial" w:cs="Arial"/>
          <w:color w:val="000000" w:themeColor="text1"/>
          <w:sz w:val="20"/>
          <w:szCs w:val="20"/>
        </w:rPr>
        <w:t>and upends the accountability for local land use decision-making.</w:t>
      </w:r>
      <w:r w:rsidR="00892721" w:rsidRPr="006E25C7">
        <w:rPr>
          <w:rFonts w:ascii="Arial" w:hAnsi="Arial" w:cs="Arial"/>
          <w:color w:val="000000"/>
          <w:sz w:val="20"/>
          <w:szCs w:val="20"/>
        </w:rPr>
        <w:t xml:space="preserve"> </w:t>
      </w:r>
      <w:r w:rsidR="00892721" w:rsidRPr="006E25C7">
        <w:rPr>
          <w:rFonts w:ascii="Arial" w:hAnsi="Arial" w:cs="Arial"/>
          <w:sz w:val="20"/>
          <w:szCs w:val="20"/>
        </w:rPr>
        <w:t>AB 1515 will allow the applicant, rather than the local agency or a judge, to determine consistency of a development with the General Plan and zoning by allowing</w:t>
      </w:r>
      <w:r w:rsidR="00892721" w:rsidRPr="006E25C7">
        <w:rPr>
          <w:rFonts w:ascii="Arial" w:hAnsi="Arial" w:cs="Arial"/>
          <w:spacing w:val="10"/>
          <w:sz w:val="20"/>
          <w:szCs w:val="20"/>
        </w:rPr>
        <w:t xml:space="preserve"> the applicant to provide contrary reasons why the project is consistent.  As a result, the issue will be whether a “reasonable person” could conclude that the project is consistent – not whether the city or county had substantial evidence to back up its conclusion.</w:t>
      </w:r>
    </w:p>
    <w:p w14:paraId="6ED9C9B9" w14:textId="77777777" w:rsidR="00E13F6D" w:rsidRDefault="00E13F6D" w:rsidP="00892721">
      <w:pPr>
        <w:pStyle w:val="NoSpacing"/>
        <w:jc w:val="both"/>
        <w:rPr>
          <w:rFonts w:ascii="Arial" w:hAnsi="Arial" w:cs="Arial"/>
          <w:spacing w:val="10"/>
          <w:sz w:val="18"/>
          <w:szCs w:val="18"/>
        </w:rPr>
      </w:pPr>
    </w:p>
    <w:p w14:paraId="341C9DD1" w14:textId="352615EC" w:rsidR="00E13F6D" w:rsidRPr="006E25C7" w:rsidRDefault="00E13F6D" w:rsidP="00892721">
      <w:pPr>
        <w:pStyle w:val="NoSpacing"/>
        <w:jc w:val="both"/>
        <w:rPr>
          <w:rFonts w:ascii="Arial" w:hAnsi="Arial" w:cs="Arial"/>
          <w:b/>
          <w:sz w:val="20"/>
          <w:szCs w:val="20"/>
        </w:rPr>
      </w:pPr>
      <w:r w:rsidRPr="006E25C7">
        <w:rPr>
          <w:rFonts w:ascii="Arial" w:hAnsi="Arial" w:cs="Arial"/>
          <w:b/>
          <w:spacing w:val="10"/>
          <w:sz w:val="20"/>
          <w:szCs w:val="20"/>
        </w:rPr>
        <w:t xml:space="preserve">SB 2 </w:t>
      </w:r>
      <w:r w:rsidR="00737844">
        <w:rPr>
          <w:rFonts w:ascii="Arial" w:hAnsi="Arial" w:cs="Arial"/>
          <w:b/>
          <w:spacing w:val="10"/>
          <w:sz w:val="20"/>
          <w:szCs w:val="20"/>
        </w:rPr>
        <w:t>–</w:t>
      </w:r>
      <w:r w:rsidRPr="006E25C7">
        <w:rPr>
          <w:rFonts w:ascii="Arial" w:hAnsi="Arial" w:cs="Arial"/>
          <w:spacing w:val="10"/>
          <w:sz w:val="20"/>
          <w:szCs w:val="20"/>
        </w:rPr>
        <w:t xml:space="preserve"> </w:t>
      </w:r>
      <w:r w:rsidRPr="006E25C7">
        <w:rPr>
          <w:rFonts w:ascii="Arial" w:hAnsi="Arial" w:cs="Arial"/>
          <w:b/>
          <w:sz w:val="20"/>
          <w:szCs w:val="20"/>
        </w:rPr>
        <w:t>P</w:t>
      </w:r>
      <w:r w:rsidR="00737844">
        <w:rPr>
          <w:rFonts w:ascii="Arial" w:hAnsi="Arial" w:cs="Arial"/>
          <w:b/>
          <w:sz w:val="20"/>
          <w:szCs w:val="20"/>
        </w:rPr>
        <w:t xml:space="preserve">ermanent Source of Affordable Housing Funding and Funding for Planning through Document Fee on Non-Housing Real Estate </w:t>
      </w:r>
    </w:p>
    <w:p w14:paraId="224C9AFF" w14:textId="1123DF2C" w:rsidR="00E13F6D" w:rsidRPr="006E25C7" w:rsidRDefault="00E13F6D" w:rsidP="00E13F6D">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6E25C7">
        <w:rPr>
          <w:rFonts w:ascii="Arial" w:hAnsi="Arial" w:cs="Arial"/>
          <w:i/>
          <w:color w:val="000000"/>
          <w:sz w:val="20"/>
          <w:szCs w:val="20"/>
        </w:rPr>
        <w:t>Position: Support –</w:t>
      </w:r>
      <w:r w:rsidR="00737844">
        <w:rPr>
          <w:rFonts w:ascii="Arial" w:hAnsi="Arial" w:cs="Arial"/>
          <w:i/>
          <w:color w:val="000000"/>
          <w:sz w:val="20"/>
          <w:szCs w:val="20"/>
        </w:rPr>
        <w:t xml:space="preserve"> </w:t>
      </w:r>
      <w:r w:rsidRPr="006E25C7">
        <w:rPr>
          <w:rFonts w:ascii="Arial" w:hAnsi="Arial" w:cs="Arial"/>
          <w:b/>
          <w:i/>
          <w:color w:val="000000"/>
          <w:sz w:val="20"/>
          <w:szCs w:val="20"/>
        </w:rPr>
        <w:t>Part of the Funding Portion of the Governor’s Housing Package</w:t>
      </w:r>
    </w:p>
    <w:p w14:paraId="6FE2F67C" w14:textId="30A7A267" w:rsidR="00E13F6D" w:rsidRPr="006E25C7" w:rsidRDefault="00E13F6D" w:rsidP="00E13F6D">
      <w:pPr>
        <w:pStyle w:val="NoSpacing"/>
        <w:widowControl w:val="0"/>
        <w:tabs>
          <w:tab w:val="left" w:pos="220"/>
          <w:tab w:val="left" w:pos="720"/>
          <w:tab w:val="left" w:pos="2427"/>
        </w:tabs>
        <w:autoSpaceDE w:val="0"/>
        <w:autoSpaceDN w:val="0"/>
        <w:adjustRightInd w:val="0"/>
        <w:jc w:val="both"/>
        <w:rPr>
          <w:rFonts w:ascii="Arial" w:hAnsi="Arial" w:cs="Arial"/>
          <w:sz w:val="20"/>
          <w:szCs w:val="20"/>
        </w:rPr>
      </w:pPr>
      <w:r w:rsidRPr="006E25C7">
        <w:rPr>
          <w:rFonts w:ascii="Arial" w:hAnsi="Arial" w:cs="Arial"/>
          <w:i/>
          <w:color w:val="000000"/>
          <w:sz w:val="20"/>
          <w:szCs w:val="20"/>
        </w:rPr>
        <w:t>Location: On</w:t>
      </w:r>
      <w:r w:rsidR="008E2D8B">
        <w:rPr>
          <w:rFonts w:ascii="Arial" w:hAnsi="Arial" w:cs="Arial"/>
          <w:i/>
          <w:color w:val="000000"/>
          <w:sz w:val="20"/>
          <w:szCs w:val="20"/>
        </w:rPr>
        <w:t xml:space="preserve"> Assembly</w:t>
      </w:r>
      <w:r w:rsidRPr="006E25C7">
        <w:rPr>
          <w:rFonts w:ascii="Arial" w:hAnsi="Arial" w:cs="Arial"/>
          <w:i/>
          <w:color w:val="000000"/>
          <w:sz w:val="20"/>
          <w:szCs w:val="20"/>
        </w:rPr>
        <w:t xml:space="preserve"> Floor</w:t>
      </w:r>
    </w:p>
    <w:p w14:paraId="126D375C" w14:textId="77777777" w:rsidR="00E13F6D" w:rsidRPr="006E25C7" w:rsidRDefault="00E13F6D" w:rsidP="00E13F6D">
      <w:pPr>
        <w:pStyle w:val="NoSpacing"/>
        <w:contextualSpacing/>
        <w:jc w:val="both"/>
        <w:rPr>
          <w:rFonts w:ascii="Arial" w:hAnsi="Arial" w:cs="Arial"/>
          <w:color w:val="000000" w:themeColor="text1"/>
          <w:sz w:val="20"/>
          <w:szCs w:val="20"/>
        </w:rPr>
      </w:pPr>
      <w:r w:rsidRPr="006E25C7">
        <w:rPr>
          <w:rFonts w:ascii="Arial" w:hAnsi="Arial" w:cs="Arial"/>
          <w:color w:val="000000" w:themeColor="text1"/>
          <w:sz w:val="20"/>
          <w:szCs w:val="20"/>
        </w:rPr>
        <w:t>This bill would provide a permanent source of funding of about $225 million per year for affordable housing, a portion of which will be available to use for local planning to accelerate housing production.</w:t>
      </w:r>
    </w:p>
    <w:p w14:paraId="52BA0BE8" w14:textId="77777777" w:rsidR="00E13F6D" w:rsidRPr="006E25C7" w:rsidRDefault="00E13F6D" w:rsidP="00892721">
      <w:pPr>
        <w:pStyle w:val="NoSpacing"/>
        <w:jc w:val="both"/>
        <w:rPr>
          <w:rFonts w:ascii="Arial" w:hAnsi="Arial" w:cs="Arial"/>
          <w:b/>
          <w:sz w:val="20"/>
          <w:szCs w:val="20"/>
        </w:rPr>
      </w:pPr>
    </w:p>
    <w:p w14:paraId="4667A7E9" w14:textId="12A9D35E" w:rsidR="00E13F6D" w:rsidRPr="006E25C7" w:rsidRDefault="00E13F6D" w:rsidP="00892721">
      <w:pPr>
        <w:pStyle w:val="NoSpacing"/>
        <w:jc w:val="both"/>
        <w:rPr>
          <w:rFonts w:ascii="Arial" w:hAnsi="Arial" w:cs="Arial"/>
          <w:b/>
          <w:sz w:val="20"/>
          <w:szCs w:val="20"/>
        </w:rPr>
      </w:pPr>
      <w:r w:rsidRPr="006E25C7">
        <w:rPr>
          <w:rFonts w:ascii="Arial" w:hAnsi="Arial" w:cs="Arial"/>
          <w:b/>
          <w:sz w:val="20"/>
          <w:szCs w:val="20"/>
        </w:rPr>
        <w:t>SB 3 – Housing Bond for Affordable Housing</w:t>
      </w:r>
    </w:p>
    <w:p w14:paraId="6A994A24" w14:textId="283545B2" w:rsidR="00E13F6D" w:rsidRPr="006E25C7" w:rsidRDefault="00E13F6D" w:rsidP="00E13F6D">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6E25C7">
        <w:rPr>
          <w:rFonts w:ascii="Arial" w:hAnsi="Arial" w:cs="Arial"/>
          <w:i/>
          <w:color w:val="000000"/>
          <w:sz w:val="20"/>
          <w:szCs w:val="20"/>
        </w:rPr>
        <w:t>Position: Support –</w:t>
      </w:r>
      <w:r w:rsidR="00737844">
        <w:rPr>
          <w:rFonts w:ascii="Arial" w:hAnsi="Arial" w:cs="Arial"/>
          <w:i/>
          <w:color w:val="000000"/>
          <w:sz w:val="20"/>
          <w:szCs w:val="20"/>
        </w:rPr>
        <w:t xml:space="preserve"> </w:t>
      </w:r>
      <w:r w:rsidRPr="006E25C7">
        <w:rPr>
          <w:rFonts w:ascii="Arial" w:hAnsi="Arial" w:cs="Arial"/>
          <w:b/>
          <w:i/>
          <w:color w:val="000000"/>
          <w:sz w:val="20"/>
          <w:szCs w:val="20"/>
        </w:rPr>
        <w:t>Part of the Funding Portion of the Governor’s Housing Package</w:t>
      </w:r>
    </w:p>
    <w:p w14:paraId="15BE42CA" w14:textId="7B48EE32" w:rsidR="00E13F6D" w:rsidRPr="006E25C7" w:rsidRDefault="00E13F6D" w:rsidP="00E13F6D">
      <w:pPr>
        <w:pStyle w:val="NoSpacing"/>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6E25C7">
        <w:rPr>
          <w:rFonts w:ascii="Arial" w:hAnsi="Arial" w:cs="Arial"/>
          <w:i/>
          <w:color w:val="000000"/>
          <w:sz w:val="20"/>
          <w:szCs w:val="20"/>
        </w:rPr>
        <w:t>Location: On</w:t>
      </w:r>
      <w:r w:rsidR="008E2D8B">
        <w:rPr>
          <w:rFonts w:ascii="Arial" w:hAnsi="Arial" w:cs="Arial"/>
          <w:i/>
          <w:color w:val="000000"/>
          <w:sz w:val="20"/>
          <w:szCs w:val="20"/>
        </w:rPr>
        <w:t xml:space="preserve"> Assembly</w:t>
      </w:r>
      <w:r w:rsidRPr="006E25C7">
        <w:rPr>
          <w:rFonts w:ascii="Arial" w:hAnsi="Arial" w:cs="Arial"/>
          <w:i/>
          <w:color w:val="000000"/>
          <w:sz w:val="20"/>
          <w:szCs w:val="20"/>
        </w:rPr>
        <w:t xml:space="preserve"> Floor</w:t>
      </w:r>
    </w:p>
    <w:p w14:paraId="112D6D86" w14:textId="6EDEB700" w:rsidR="00CC5A5B" w:rsidRPr="006E25C7" w:rsidRDefault="00E13F6D" w:rsidP="00E13F6D">
      <w:pPr>
        <w:pStyle w:val="NoSpacing"/>
        <w:widowControl w:val="0"/>
        <w:tabs>
          <w:tab w:val="left" w:pos="220"/>
          <w:tab w:val="left" w:pos="720"/>
          <w:tab w:val="left" w:pos="2427"/>
        </w:tabs>
        <w:autoSpaceDE w:val="0"/>
        <w:autoSpaceDN w:val="0"/>
        <w:adjustRightInd w:val="0"/>
        <w:jc w:val="both"/>
        <w:rPr>
          <w:rFonts w:ascii="Arial" w:hAnsi="Arial" w:cs="Arial"/>
          <w:sz w:val="20"/>
          <w:szCs w:val="20"/>
        </w:rPr>
      </w:pPr>
      <w:r w:rsidRPr="006E25C7">
        <w:rPr>
          <w:rFonts w:ascii="Arial" w:hAnsi="Arial" w:cs="Arial"/>
          <w:color w:val="000000" w:themeColor="text1"/>
          <w:sz w:val="20"/>
          <w:szCs w:val="20"/>
        </w:rPr>
        <w:t>This measure would authorize a $4 billion general obligation bond for housing, which would go to voters for approval in 2018.</w:t>
      </w:r>
    </w:p>
    <w:p w14:paraId="3341965A" w14:textId="77777777" w:rsidR="005D6658" w:rsidRPr="006E25C7"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7631BE0E" w14:textId="77777777" w:rsidR="005D6658" w:rsidRPr="00737844"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737844">
        <w:rPr>
          <w:rFonts w:ascii="Arial" w:hAnsi="Arial" w:cs="Arial"/>
          <w:b/>
          <w:color w:val="000000"/>
          <w:sz w:val="20"/>
          <w:szCs w:val="20"/>
        </w:rPr>
        <w:t>SB 166 – Expansion of No-Net Loss to Loss of Affordability</w:t>
      </w:r>
    </w:p>
    <w:p w14:paraId="6D55043D" w14:textId="78A868DC" w:rsidR="005D6658" w:rsidRPr="00737844" w:rsidRDefault="005D6658"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737844">
        <w:rPr>
          <w:rFonts w:ascii="Arial" w:hAnsi="Arial" w:cs="Arial"/>
          <w:i/>
          <w:color w:val="000000"/>
          <w:sz w:val="20"/>
          <w:szCs w:val="20"/>
        </w:rPr>
        <w:t>Position: Support if Amende</w:t>
      </w:r>
      <w:r w:rsidR="00A94238" w:rsidRPr="00737844">
        <w:rPr>
          <w:rFonts w:ascii="Arial" w:hAnsi="Arial" w:cs="Arial"/>
          <w:i/>
          <w:color w:val="000000"/>
          <w:sz w:val="20"/>
          <w:szCs w:val="20"/>
        </w:rPr>
        <w:t xml:space="preserve">d </w:t>
      </w:r>
      <w:r w:rsidR="00737844" w:rsidRPr="00737844">
        <w:rPr>
          <w:rFonts w:ascii="Arial" w:hAnsi="Arial" w:cs="Arial"/>
          <w:i/>
          <w:color w:val="000000"/>
          <w:sz w:val="20"/>
          <w:szCs w:val="20"/>
        </w:rPr>
        <w:t>–</w:t>
      </w:r>
      <w:r w:rsidR="00A94238" w:rsidRPr="00737844">
        <w:rPr>
          <w:rFonts w:ascii="Arial" w:hAnsi="Arial" w:cs="Arial"/>
          <w:i/>
          <w:color w:val="000000"/>
          <w:sz w:val="20"/>
          <w:szCs w:val="20"/>
        </w:rPr>
        <w:t xml:space="preserve"> </w:t>
      </w:r>
      <w:r w:rsidR="00737844" w:rsidRPr="00737844">
        <w:rPr>
          <w:rFonts w:ascii="Arial" w:hAnsi="Arial" w:cs="Arial"/>
          <w:b/>
          <w:i/>
          <w:color w:val="000000"/>
          <w:sz w:val="20"/>
          <w:szCs w:val="20"/>
        </w:rPr>
        <w:t>May Be</w:t>
      </w:r>
      <w:r w:rsidR="00737844" w:rsidRPr="00737844">
        <w:rPr>
          <w:rFonts w:ascii="Arial" w:hAnsi="Arial" w:cs="Arial"/>
          <w:i/>
          <w:color w:val="000000"/>
          <w:sz w:val="20"/>
          <w:szCs w:val="20"/>
        </w:rPr>
        <w:t xml:space="preserve"> </w:t>
      </w:r>
      <w:r w:rsidR="00A94238" w:rsidRPr="00737844">
        <w:rPr>
          <w:rFonts w:ascii="Arial" w:hAnsi="Arial" w:cs="Arial"/>
          <w:b/>
          <w:i/>
          <w:color w:val="000000"/>
          <w:sz w:val="20"/>
          <w:szCs w:val="20"/>
        </w:rPr>
        <w:t>Part of the Governor’s Housing Package</w:t>
      </w:r>
    </w:p>
    <w:p w14:paraId="71907A63" w14:textId="33D1B988" w:rsidR="005D6658" w:rsidRPr="00737844" w:rsidRDefault="00871190"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737844">
        <w:rPr>
          <w:rFonts w:ascii="Arial" w:hAnsi="Arial" w:cs="Arial"/>
          <w:i/>
          <w:color w:val="000000"/>
          <w:sz w:val="20"/>
          <w:szCs w:val="20"/>
        </w:rPr>
        <w:t xml:space="preserve">Location: </w:t>
      </w:r>
      <w:r w:rsidR="008E2D8B">
        <w:rPr>
          <w:rFonts w:ascii="Arial" w:hAnsi="Arial" w:cs="Arial"/>
          <w:i/>
          <w:color w:val="000000"/>
          <w:sz w:val="20"/>
          <w:szCs w:val="20"/>
        </w:rPr>
        <w:t>On Assembly Floor</w:t>
      </w:r>
      <w:r w:rsidRPr="00737844">
        <w:rPr>
          <w:rFonts w:ascii="Arial" w:hAnsi="Arial" w:cs="Arial"/>
          <w:i/>
          <w:color w:val="000000"/>
          <w:sz w:val="20"/>
          <w:szCs w:val="20"/>
        </w:rPr>
        <w:t xml:space="preserve"> </w:t>
      </w:r>
    </w:p>
    <w:p w14:paraId="19B4FC96" w14:textId="48EBB2CF" w:rsidR="00892721" w:rsidRPr="00737844" w:rsidRDefault="00892721" w:rsidP="00892721">
      <w:pPr>
        <w:pStyle w:val="NoSpacing"/>
        <w:jc w:val="both"/>
        <w:rPr>
          <w:rFonts w:ascii="Arial" w:hAnsi="Arial" w:cs="Arial"/>
          <w:sz w:val="20"/>
          <w:szCs w:val="20"/>
          <w:shd w:val="clear" w:color="auto" w:fill="FFFFFF"/>
        </w:rPr>
      </w:pPr>
      <w:r w:rsidRPr="00737844">
        <w:rPr>
          <w:rFonts w:ascii="Arial" w:hAnsi="Arial" w:cs="Arial"/>
          <w:sz w:val="20"/>
          <w:szCs w:val="20"/>
        </w:rPr>
        <w:t xml:space="preserve">This bill would mandate that cities and counties implement a rolling adequate sites and rezoning requirement by income level, rather than total units. Although </w:t>
      </w:r>
      <w:r w:rsidR="00737844">
        <w:rPr>
          <w:rFonts w:ascii="Arial" w:hAnsi="Arial" w:cs="Arial"/>
          <w:sz w:val="20"/>
          <w:szCs w:val="20"/>
        </w:rPr>
        <w:t>APA</w:t>
      </w:r>
      <w:r w:rsidRPr="00737844">
        <w:rPr>
          <w:rFonts w:ascii="Arial" w:hAnsi="Arial" w:cs="Arial"/>
          <w:sz w:val="20"/>
          <w:szCs w:val="20"/>
        </w:rPr>
        <w:t xml:space="preserve"> agree</w:t>
      </w:r>
      <w:r w:rsidR="00737844">
        <w:rPr>
          <w:rFonts w:ascii="Arial" w:hAnsi="Arial" w:cs="Arial"/>
          <w:sz w:val="20"/>
          <w:szCs w:val="20"/>
        </w:rPr>
        <w:t>s</w:t>
      </w:r>
      <w:r w:rsidRPr="00737844">
        <w:rPr>
          <w:rFonts w:ascii="Arial" w:hAnsi="Arial" w:cs="Arial"/>
          <w:sz w:val="20"/>
          <w:szCs w:val="20"/>
        </w:rPr>
        <w:t xml:space="preserve"> that no jurisdiction should be left with only a few or no sites that can accommodate affordable housing by the end of the housing element planning period, the </w:t>
      </w:r>
      <w:r w:rsidRPr="00737844">
        <w:rPr>
          <w:rFonts w:ascii="Arial" w:hAnsi="Arial" w:cs="Arial"/>
          <w:sz w:val="20"/>
          <w:szCs w:val="20"/>
          <w:shd w:val="clear" w:color="auto" w:fill="FFFFFF"/>
        </w:rPr>
        <w:t>remedy of continuous rezonings is an extremely onerous requirement for cities and counties -- there aren’t enough subsidies to build on 100% of sites designated for affordable housing and the HAA prevents jurisdictions from denying a market-rate housing project proposed on a site that is designated for affordable housing – a Catch 22. We have asked for two amendments:</w:t>
      </w:r>
    </w:p>
    <w:p w14:paraId="4F4ABAA4" w14:textId="77777777" w:rsidR="00892721" w:rsidRPr="00474CF5" w:rsidRDefault="00892721" w:rsidP="00892721">
      <w:pPr>
        <w:pStyle w:val="NoSpacing"/>
        <w:numPr>
          <w:ilvl w:val="0"/>
          <w:numId w:val="5"/>
        </w:numPr>
        <w:jc w:val="both"/>
        <w:rPr>
          <w:rFonts w:ascii="Arial" w:eastAsia="Times New Roman" w:hAnsi="Arial" w:cs="Arial"/>
          <w:color w:val="000000" w:themeColor="text1"/>
          <w:sz w:val="18"/>
          <w:szCs w:val="18"/>
        </w:rPr>
      </w:pPr>
      <w:r w:rsidRPr="00C309E6">
        <w:rPr>
          <w:rFonts w:ascii="Arial" w:hAnsi="Arial" w:cs="Arial"/>
          <w:b/>
          <w:sz w:val="18"/>
          <w:szCs w:val="18"/>
          <w:u w:val="single"/>
          <w:shd w:val="clear" w:color="auto" w:fill="FFFFFF"/>
        </w:rPr>
        <w:t xml:space="preserve">Provide </w:t>
      </w:r>
      <w:r w:rsidRPr="00474CF5">
        <w:rPr>
          <w:rFonts w:ascii="Arial" w:hAnsi="Arial" w:cs="Arial"/>
          <w:b/>
          <w:color w:val="000000" w:themeColor="text1"/>
          <w:sz w:val="18"/>
          <w:szCs w:val="18"/>
          <w:u w:val="single"/>
          <w:shd w:val="clear" w:color="auto" w:fill="FFFFFF"/>
        </w:rPr>
        <w:t>the option of less onerous alternatives to the continuous rezonings</w:t>
      </w:r>
      <w:r w:rsidRPr="00474CF5">
        <w:rPr>
          <w:rFonts w:ascii="Arial" w:hAnsi="Arial" w:cs="Arial"/>
          <w:color w:val="000000" w:themeColor="text1"/>
          <w:sz w:val="18"/>
          <w:szCs w:val="18"/>
          <w:shd w:val="clear" w:color="auto" w:fill="FFFFFF"/>
        </w:rPr>
        <w:t xml:space="preserve"> by allowing cities and counties to rezone sites designated as suitable for affordable housing just once in the planning period, in year 4, if the number of sites that can accommodate affordable housing goes below 50% of the RHNA, or require market rate multi-family housing approved on affordable sites to include an </w:t>
      </w:r>
      <w:r w:rsidRPr="00474CF5">
        <w:rPr>
          <w:rFonts w:ascii="Arial" w:eastAsia="Times New Roman" w:hAnsi="Arial" w:cs="Arial"/>
          <w:color w:val="000000" w:themeColor="text1"/>
          <w:sz w:val="18"/>
          <w:szCs w:val="18"/>
          <w:shd w:val="clear" w:color="auto" w:fill="FFFFFF"/>
        </w:rPr>
        <w:t>inclusionary requirement similar to that in former RDA law.</w:t>
      </w:r>
    </w:p>
    <w:p w14:paraId="00E70F9B" w14:textId="77777777" w:rsidR="00892721" w:rsidRPr="00C309E6" w:rsidRDefault="00892721" w:rsidP="00892721">
      <w:pPr>
        <w:pStyle w:val="NoSpacing"/>
        <w:numPr>
          <w:ilvl w:val="0"/>
          <w:numId w:val="5"/>
        </w:numPr>
        <w:jc w:val="both"/>
        <w:rPr>
          <w:rFonts w:ascii="Arial" w:hAnsi="Arial" w:cs="Arial"/>
          <w:sz w:val="18"/>
          <w:szCs w:val="18"/>
        </w:rPr>
      </w:pPr>
      <w:r w:rsidRPr="00C309E6">
        <w:rPr>
          <w:rFonts w:ascii="Arial" w:hAnsi="Arial" w:cs="Arial"/>
          <w:b/>
          <w:sz w:val="18"/>
          <w:szCs w:val="18"/>
          <w:u w:val="single"/>
          <w:shd w:val="clear" w:color="auto" w:fill="FFFFFF"/>
        </w:rPr>
        <w:t>For rezonings that are subject to CEQA, the 180-day rezoning time limit should be extended</w:t>
      </w:r>
      <w:r w:rsidRPr="00C309E6">
        <w:rPr>
          <w:rFonts w:ascii="Arial" w:hAnsi="Arial" w:cs="Arial"/>
          <w:sz w:val="18"/>
          <w:szCs w:val="18"/>
          <w:shd w:val="clear" w:color="auto" w:fill="FFFFFF"/>
        </w:rPr>
        <w:t xml:space="preserve"> by the number of days, if any, required by CEQA. The 180-day time period to complete the rezoning is too short to accommodate any necessary review of CEQA. </w:t>
      </w:r>
    </w:p>
    <w:p w14:paraId="7C73912F" w14:textId="77777777" w:rsidR="00871190" w:rsidRDefault="00871190"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3CBBD612"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273085">
        <w:rPr>
          <w:rFonts w:ascii="Arial" w:hAnsi="Arial" w:cs="Arial"/>
          <w:b/>
          <w:color w:val="000000"/>
          <w:sz w:val="20"/>
          <w:szCs w:val="20"/>
        </w:rPr>
        <w:t xml:space="preserve">SB 649 – Small Cell Wireless Infrastructure Permitting and Mandatory Leasing </w:t>
      </w:r>
    </w:p>
    <w:p w14:paraId="0D105446"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Oppose </w:t>
      </w:r>
    </w:p>
    <w:p w14:paraId="467DABD7" w14:textId="0FC76D07" w:rsidR="005D6658" w:rsidRPr="00273085" w:rsidRDefault="00871190" w:rsidP="005D6658">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w:t>
      </w:r>
      <w:r w:rsidR="008E2D8B">
        <w:rPr>
          <w:rFonts w:ascii="Arial" w:hAnsi="Arial" w:cs="Arial"/>
          <w:i/>
          <w:color w:val="000000"/>
          <w:sz w:val="20"/>
          <w:szCs w:val="20"/>
        </w:rPr>
        <w:t xml:space="preserve">On </w:t>
      </w:r>
      <w:r w:rsidR="00CC1621">
        <w:rPr>
          <w:rFonts w:ascii="Arial" w:hAnsi="Arial" w:cs="Arial"/>
          <w:i/>
          <w:color w:val="000000"/>
          <w:sz w:val="20"/>
          <w:szCs w:val="20"/>
        </w:rPr>
        <w:t xml:space="preserve">Assembly Floor </w:t>
      </w:r>
      <w:r>
        <w:rPr>
          <w:rFonts w:ascii="Arial" w:hAnsi="Arial" w:cs="Arial"/>
          <w:i/>
          <w:color w:val="000000"/>
          <w:sz w:val="20"/>
          <w:szCs w:val="20"/>
        </w:rPr>
        <w:t xml:space="preserve"> </w:t>
      </w:r>
    </w:p>
    <w:p w14:paraId="18EEDAFC" w14:textId="65FA232A" w:rsidR="00B74E76" w:rsidRDefault="005D6658" w:rsidP="00B74E76">
      <w:pPr>
        <w:widowControl w:val="0"/>
        <w:tabs>
          <w:tab w:val="left" w:pos="220"/>
          <w:tab w:val="left" w:pos="720"/>
          <w:tab w:val="left" w:pos="2427"/>
        </w:tabs>
        <w:autoSpaceDE w:val="0"/>
        <w:autoSpaceDN w:val="0"/>
        <w:adjustRightInd w:val="0"/>
        <w:jc w:val="both"/>
        <w:rPr>
          <w:rFonts w:ascii="Arial" w:hAnsi="Arial" w:cs="Arial"/>
          <w:color w:val="000000"/>
          <w:sz w:val="20"/>
          <w:szCs w:val="20"/>
        </w:rPr>
      </w:pPr>
      <w:r w:rsidRPr="00273085">
        <w:rPr>
          <w:rFonts w:ascii="Arial" w:hAnsi="Arial" w:cs="Arial"/>
          <w:color w:val="000000"/>
          <w:sz w:val="20"/>
          <w:szCs w:val="20"/>
        </w:rPr>
        <w:t xml:space="preserve">This </w:t>
      </w:r>
      <w:r w:rsidR="009555B4">
        <w:rPr>
          <w:rFonts w:ascii="Arial" w:hAnsi="Arial" w:cs="Arial"/>
          <w:color w:val="000000"/>
          <w:sz w:val="20"/>
          <w:szCs w:val="20"/>
        </w:rPr>
        <w:t xml:space="preserve">bill </w:t>
      </w:r>
      <w:r w:rsidR="00F76F30">
        <w:rPr>
          <w:rFonts w:ascii="Arial" w:hAnsi="Arial" w:cs="Arial"/>
          <w:color w:val="000000"/>
          <w:sz w:val="20"/>
          <w:szCs w:val="20"/>
        </w:rPr>
        <w:t xml:space="preserve">effectively </w:t>
      </w:r>
      <w:r w:rsidRPr="00273085">
        <w:rPr>
          <w:rFonts w:ascii="Arial" w:hAnsi="Arial" w:cs="Arial"/>
          <w:color w:val="000000"/>
          <w:sz w:val="20"/>
          <w:szCs w:val="20"/>
        </w:rPr>
        <w:t>eliminates public input and full local environmental a</w:t>
      </w:r>
      <w:r w:rsidR="00F76F30">
        <w:rPr>
          <w:rFonts w:ascii="Arial" w:hAnsi="Arial" w:cs="Arial"/>
          <w:color w:val="000000"/>
          <w:sz w:val="20"/>
          <w:szCs w:val="20"/>
        </w:rPr>
        <w:t>nd design review</w:t>
      </w:r>
      <w:r w:rsidR="005E785F">
        <w:rPr>
          <w:rFonts w:ascii="Arial" w:hAnsi="Arial" w:cs="Arial"/>
          <w:color w:val="000000"/>
          <w:sz w:val="20"/>
          <w:szCs w:val="20"/>
        </w:rPr>
        <w:t xml:space="preserve"> of small cells</w:t>
      </w:r>
      <w:r w:rsidR="00F76F30">
        <w:rPr>
          <w:rFonts w:ascii="Arial" w:hAnsi="Arial" w:cs="Arial"/>
          <w:color w:val="000000"/>
          <w:sz w:val="20"/>
          <w:szCs w:val="20"/>
        </w:rPr>
        <w:t>,</w:t>
      </w:r>
      <w:r w:rsidRPr="00273085">
        <w:rPr>
          <w:rFonts w:ascii="Arial" w:hAnsi="Arial" w:cs="Arial"/>
          <w:color w:val="000000"/>
          <w:sz w:val="20"/>
          <w:szCs w:val="20"/>
        </w:rPr>
        <w:t xml:space="preserve"> mandates the leasing of publicly owne</w:t>
      </w:r>
      <w:r w:rsidR="00D82027">
        <w:rPr>
          <w:rFonts w:ascii="Arial" w:hAnsi="Arial" w:cs="Arial"/>
          <w:color w:val="000000"/>
          <w:sz w:val="20"/>
          <w:szCs w:val="20"/>
        </w:rPr>
        <w:t>d infrastructure for small cells infrastructure</w:t>
      </w:r>
      <w:r w:rsidRPr="00273085">
        <w:rPr>
          <w:rFonts w:ascii="Arial" w:hAnsi="Arial" w:cs="Arial"/>
          <w:color w:val="000000"/>
          <w:sz w:val="20"/>
          <w:szCs w:val="20"/>
        </w:rPr>
        <w:t xml:space="preserve">, and eliminates the ability for local governments to negotiate leases or any public benefit for the installation of “small cell” equipment on taxpayer funded property.  </w:t>
      </w:r>
      <w:r w:rsidR="00FD3BD2">
        <w:rPr>
          <w:rFonts w:ascii="Arial" w:hAnsi="Arial" w:cs="Arial"/>
          <w:color w:val="000000"/>
          <w:sz w:val="20"/>
          <w:szCs w:val="20"/>
        </w:rPr>
        <w:t xml:space="preserve">Specifics of the bill are as follows: </w:t>
      </w:r>
      <w:r w:rsidR="00B74E76">
        <w:rPr>
          <w:rFonts w:ascii="Arial" w:hAnsi="Arial" w:cs="Arial"/>
          <w:color w:val="000000"/>
          <w:sz w:val="20"/>
          <w:szCs w:val="20"/>
        </w:rPr>
        <w:t xml:space="preserve"> </w:t>
      </w:r>
    </w:p>
    <w:p w14:paraId="4AD526F5" w14:textId="6B9BDDBA" w:rsidR="00B74E76" w:rsidRPr="00FD3BD2" w:rsidRDefault="00B74E76" w:rsidP="00FD3BD2">
      <w:pPr>
        <w:pStyle w:val="ListParagraph"/>
        <w:widowControl w:val="0"/>
        <w:numPr>
          <w:ilvl w:val="0"/>
          <w:numId w:val="2"/>
        </w:numPr>
        <w:tabs>
          <w:tab w:val="left" w:pos="220"/>
          <w:tab w:val="left" w:pos="720"/>
          <w:tab w:val="left" w:pos="2427"/>
        </w:tabs>
        <w:autoSpaceDE w:val="0"/>
        <w:autoSpaceDN w:val="0"/>
        <w:adjustRightInd w:val="0"/>
        <w:jc w:val="both"/>
        <w:rPr>
          <w:rFonts w:ascii="Arial" w:hAnsi="Arial" w:cs="Arial"/>
          <w:color w:val="000000"/>
          <w:sz w:val="20"/>
          <w:szCs w:val="20"/>
        </w:rPr>
      </w:pPr>
      <w:r w:rsidRPr="00FD3BD2">
        <w:rPr>
          <w:rFonts w:ascii="Arial" w:hAnsi="Arial" w:cs="Arial"/>
          <w:color w:val="000000"/>
          <w:sz w:val="20"/>
          <w:szCs w:val="20"/>
        </w:rPr>
        <w:t xml:space="preserve">Discretionary approval of small cell permits </w:t>
      </w:r>
      <w:r w:rsidR="00D13E2F">
        <w:rPr>
          <w:rFonts w:ascii="Arial" w:hAnsi="Arial" w:cs="Arial"/>
          <w:color w:val="000000"/>
          <w:sz w:val="20"/>
          <w:szCs w:val="20"/>
        </w:rPr>
        <w:t>is</w:t>
      </w:r>
      <w:r w:rsidR="00FD3BD2" w:rsidRPr="00FD3BD2">
        <w:rPr>
          <w:rFonts w:ascii="Arial" w:hAnsi="Arial" w:cs="Arial"/>
          <w:color w:val="000000"/>
          <w:sz w:val="20"/>
          <w:szCs w:val="20"/>
        </w:rPr>
        <w:t xml:space="preserve"> </w:t>
      </w:r>
      <w:r w:rsidRPr="00FD3BD2">
        <w:rPr>
          <w:rFonts w:ascii="Arial" w:hAnsi="Arial" w:cs="Arial"/>
          <w:bCs/>
          <w:color w:val="000000"/>
          <w:sz w:val="20"/>
          <w:szCs w:val="20"/>
        </w:rPr>
        <w:t xml:space="preserve">only </w:t>
      </w:r>
      <w:r w:rsidRPr="00FD3BD2">
        <w:rPr>
          <w:rFonts w:ascii="Arial" w:hAnsi="Arial" w:cs="Arial"/>
          <w:color w:val="000000"/>
          <w:sz w:val="20"/>
          <w:szCs w:val="20"/>
        </w:rPr>
        <w:t>allowed in the coastal zone and in historic districts. All other areas must process these permits through either a building or encroachment permit.</w:t>
      </w:r>
    </w:p>
    <w:p w14:paraId="6E445DCB" w14:textId="147DC237" w:rsidR="00B74E76" w:rsidRDefault="00423CC3" w:rsidP="00FD3BD2">
      <w:pPr>
        <w:pStyle w:val="ListParagraph"/>
        <w:widowControl w:val="0"/>
        <w:numPr>
          <w:ilvl w:val="0"/>
          <w:numId w:val="2"/>
        </w:numPr>
        <w:tabs>
          <w:tab w:val="left" w:pos="220"/>
          <w:tab w:val="left" w:pos="720"/>
          <w:tab w:val="left" w:pos="2427"/>
        </w:tabs>
        <w:autoSpaceDE w:val="0"/>
        <w:autoSpaceDN w:val="0"/>
        <w:adjustRightInd w:val="0"/>
        <w:jc w:val="both"/>
        <w:rPr>
          <w:rFonts w:ascii="Arial" w:hAnsi="Arial" w:cs="Arial"/>
          <w:color w:val="000000"/>
          <w:sz w:val="20"/>
          <w:szCs w:val="20"/>
        </w:rPr>
      </w:pPr>
      <w:r>
        <w:rPr>
          <w:rFonts w:ascii="Arial" w:hAnsi="Arial" w:cs="Arial"/>
          <w:color w:val="000000"/>
          <w:sz w:val="20"/>
          <w:szCs w:val="20"/>
        </w:rPr>
        <w:t>There is l</w:t>
      </w:r>
      <w:r w:rsidR="00B74E76" w:rsidRPr="00FD3BD2">
        <w:rPr>
          <w:rFonts w:ascii="Arial" w:hAnsi="Arial" w:cs="Arial"/>
          <w:color w:val="000000"/>
          <w:sz w:val="20"/>
          <w:szCs w:val="20"/>
        </w:rPr>
        <w:t>imited ability to apply design standards for property in the right of way, and those provisions are conflicting and difficult to interpret.</w:t>
      </w:r>
    </w:p>
    <w:p w14:paraId="70E2EA65" w14:textId="6A471252" w:rsidR="00F57918" w:rsidRPr="00FD3BD2" w:rsidRDefault="00F57918" w:rsidP="00FD3BD2">
      <w:pPr>
        <w:pStyle w:val="ListParagraph"/>
        <w:widowControl w:val="0"/>
        <w:numPr>
          <w:ilvl w:val="0"/>
          <w:numId w:val="2"/>
        </w:numPr>
        <w:tabs>
          <w:tab w:val="left" w:pos="220"/>
          <w:tab w:val="left" w:pos="720"/>
          <w:tab w:val="left" w:pos="2427"/>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Small cell dimensions defined in the bill are still very large and don’t include all associated equipment needed to support the small cells. </w:t>
      </w:r>
    </w:p>
    <w:p w14:paraId="56D6B1FF" w14:textId="24F7F454" w:rsidR="00B74E76" w:rsidRPr="00FD3BD2" w:rsidRDefault="00B74E76" w:rsidP="00FD3BD2">
      <w:pPr>
        <w:pStyle w:val="ListParagraph"/>
        <w:widowControl w:val="0"/>
        <w:numPr>
          <w:ilvl w:val="0"/>
          <w:numId w:val="2"/>
        </w:numPr>
        <w:tabs>
          <w:tab w:val="left" w:pos="220"/>
          <w:tab w:val="left" w:pos="720"/>
          <w:tab w:val="left" w:pos="2427"/>
        </w:tabs>
        <w:autoSpaceDE w:val="0"/>
        <w:autoSpaceDN w:val="0"/>
        <w:adjustRightInd w:val="0"/>
        <w:jc w:val="both"/>
        <w:rPr>
          <w:rFonts w:ascii="Arial" w:hAnsi="Arial" w:cs="Arial"/>
          <w:color w:val="000000"/>
          <w:sz w:val="20"/>
          <w:szCs w:val="20"/>
        </w:rPr>
      </w:pPr>
      <w:r w:rsidRPr="00FD3BD2">
        <w:rPr>
          <w:rFonts w:ascii="Arial" w:hAnsi="Arial" w:cs="Arial"/>
          <w:bCs/>
          <w:color w:val="000000"/>
          <w:sz w:val="20"/>
          <w:szCs w:val="20"/>
        </w:rPr>
        <w:t>Mandatory</w:t>
      </w:r>
      <w:r w:rsidRPr="00FD3BD2">
        <w:rPr>
          <w:rFonts w:ascii="Arial" w:hAnsi="Arial" w:cs="Arial"/>
          <w:color w:val="000000"/>
          <w:sz w:val="20"/>
          <w:szCs w:val="20"/>
        </w:rPr>
        <w:t> leasing of pub</w:t>
      </w:r>
      <w:r w:rsidR="00FD3BD2">
        <w:rPr>
          <w:rFonts w:ascii="Arial" w:hAnsi="Arial" w:cs="Arial"/>
          <w:color w:val="000000"/>
          <w:sz w:val="20"/>
          <w:szCs w:val="20"/>
        </w:rPr>
        <w:t>lic property at prescribed fees</w:t>
      </w:r>
      <w:r w:rsidR="00423CC3">
        <w:rPr>
          <w:rFonts w:ascii="Arial" w:hAnsi="Arial" w:cs="Arial"/>
          <w:color w:val="000000"/>
          <w:sz w:val="20"/>
          <w:szCs w:val="20"/>
        </w:rPr>
        <w:t xml:space="preserve"> is required. </w:t>
      </w:r>
      <w:r w:rsidRPr="00FD3BD2">
        <w:rPr>
          <w:rFonts w:ascii="Arial" w:hAnsi="Arial" w:cs="Arial"/>
          <w:color w:val="000000"/>
          <w:sz w:val="20"/>
          <w:szCs w:val="20"/>
        </w:rPr>
        <w:t xml:space="preserve">Fees for leasing of public property would be set by using </w:t>
      </w:r>
      <w:r w:rsidR="00F57918">
        <w:rPr>
          <w:rFonts w:ascii="Arial" w:hAnsi="Arial" w:cs="Arial"/>
          <w:color w:val="000000"/>
          <w:sz w:val="20"/>
          <w:szCs w:val="20"/>
        </w:rPr>
        <w:t>a f</w:t>
      </w:r>
      <w:r w:rsidRPr="00FD3BD2">
        <w:rPr>
          <w:rFonts w:ascii="Arial" w:hAnsi="Arial" w:cs="Arial"/>
          <w:color w:val="000000"/>
          <w:sz w:val="20"/>
          <w:szCs w:val="20"/>
        </w:rPr>
        <w:t>ormula for attachments to PUC poles, plus an additional $250 for the time to set up the fee structure.  </w:t>
      </w:r>
      <w:r w:rsidRPr="00FD3BD2">
        <w:rPr>
          <w:rFonts w:ascii="Arial" w:hAnsi="Arial" w:cs="Arial"/>
          <w:bCs/>
          <w:color w:val="000000"/>
          <w:sz w:val="20"/>
          <w:szCs w:val="20"/>
        </w:rPr>
        <w:t>After applying the formula, those fees would likely barely cover maintenance costs.</w:t>
      </w:r>
    </w:p>
    <w:p w14:paraId="749E2B9E" w14:textId="77777777" w:rsidR="00D11FC1" w:rsidRDefault="00D11FC1" w:rsidP="00FD3BD2">
      <w:pPr>
        <w:widowControl w:val="0"/>
        <w:tabs>
          <w:tab w:val="left" w:pos="220"/>
          <w:tab w:val="left" w:pos="720"/>
          <w:tab w:val="left" w:pos="2427"/>
        </w:tabs>
        <w:autoSpaceDE w:val="0"/>
        <w:autoSpaceDN w:val="0"/>
        <w:adjustRightInd w:val="0"/>
        <w:jc w:val="both"/>
        <w:rPr>
          <w:rFonts w:ascii="Arial" w:hAnsi="Arial" w:cs="Arial"/>
          <w:color w:val="000000"/>
          <w:sz w:val="20"/>
          <w:szCs w:val="20"/>
        </w:rPr>
      </w:pPr>
    </w:p>
    <w:p w14:paraId="5EE6D242" w14:textId="7DABDB5E" w:rsidR="005D6658" w:rsidRDefault="00B74E76" w:rsidP="00FD3BD2">
      <w:pPr>
        <w:widowControl w:val="0"/>
        <w:tabs>
          <w:tab w:val="left" w:pos="220"/>
          <w:tab w:val="left" w:pos="720"/>
          <w:tab w:val="left" w:pos="2427"/>
        </w:tabs>
        <w:autoSpaceDE w:val="0"/>
        <w:autoSpaceDN w:val="0"/>
        <w:adjustRightInd w:val="0"/>
        <w:jc w:val="both"/>
        <w:rPr>
          <w:rFonts w:ascii="Arial" w:hAnsi="Arial" w:cs="Arial"/>
          <w:color w:val="000000"/>
          <w:sz w:val="20"/>
          <w:szCs w:val="20"/>
        </w:rPr>
      </w:pPr>
      <w:r w:rsidRPr="00B74E76">
        <w:rPr>
          <w:rFonts w:ascii="Arial" w:hAnsi="Arial" w:cs="Arial"/>
          <w:color w:val="000000"/>
          <w:sz w:val="20"/>
          <w:szCs w:val="20"/>
        </w:rPr>
        <w:t>APA Cal</w:t>
      </w:r>
      <w:r w:rsidR="00423CC3">
        <w:rPr>
          <w:rFonts w:ascii="Arial" w:hAnsi="Arial" w:cs="Arial"/>
          <w:color w:val="000000"/>
          <w:sz w:val="20"/>
          <w:szCs w:val="20"/>
        </w:rPr>
        <w:t xml:space="preserve">ifornia </w:t>
      </w:r>
      <w:r w:rsidRPr="00B74E76">
        <w:rPr>
          <w:rFonts w:ascii="Arial" w:hAnsi="Arial" w:cs="Arial"/>
          <w:color w:val="000000"/>
          <w:sz w:val="20"/>
          <w:szCs w:val="20"/>
        </w:rPr>
        <w:t>believes SB 649 will set a dangerous precedent for other private industries to seek similar treatment. APA California, along with other local government associations and many cities/count</w:t>
      </w:r>
      <w:r w:rsidR="00F57918">
        <w:rPr>
          <w:rFonts w:ascii="Arial" w:hAnsi="Arial" w:cs="Arial"/>
          <w:color w:val="000000"/>
          <w:sz w:val="20"/>
          <w:szCs w:val="20"/>
        </w:rPr>
        <w:t xml:space="preserve">ies continue to remain opposed. </w:t>
      </w:r>
      <w:r w:rsidR="00F76F30">
        <w:rPr>
          <w:rFonts w:ascii="Arial" w:hAnsi="Arial" w:cs="Arial"/>
          <w:color w:val="000000"/>
          <w:sz w:val="20"/>
          <w:szCs w:val="20"/>
        </w:rPr>
        <w:t xml:space="preserve">While many amendments have been made to the bill since </w:t>
      </w:r>
      <w:r w:rsidR="00D82027">
        <w:rPr>
          <w:rFonts w:ascii="Arial" w:hAnsi="Arial" w:cs="Arial"/>
          <w:color w:val="000000"/>
          <w:sz w:val="20"/>
          <w:szCs w:val="20"/>
        </w:rPr>
        <w:t>it</w:t>
      </w:r>
      <w:r w:rsidR="00F76F30">
        <w:rPr>
          <w:rFonts w:ascii="Arial" w:hAnsi="Arial" w:cs="Arial"/>
          <w:color w:val="000000"/>
          <w:sz w:val="20"/>
          <w:szCs w:val="20"/>
        </w:rPr>
        <w:t xml:space="preserve">s introduction, they have not </w:t>
      </w:r>
      <w:r w:rsidR="00423CC3">
        <w:rPr>
          <w:rFonts w:ascii="Arial" w:hAnsi="Arial" w:cs="Arial"/>
          <w:color w:val="000000"/>
          <w:sz w:val="20"/>
          <w:szCs w:val="20"/>
        </w:rPr>
        <w:t>addressed issues raised by the</w:t>
      </w:r>
      <w:r w:rsidR="00F76F30">
        <w:rPr>
          <w:rFonts w:ascii="Arial" w:hAnsi="Arial" w:cs="Arial"/>
          <w:color w:val="000000"/>
          <w:sz w:val="20"/>
          <w:szCs w:val="20"/>
        </w:rPr>
        <w:t xml:space="preserve"> opposition and many have </w:t>
      </w:r>
      <w:r w:rsidR="00423CC3">
        <w:rPr>
          <w:rFonts w:ascii="Arial" w:hAnsi="Arial" w:cs="Arial"/>
          <w:color w:val="000000"/>
          <w:sz w:val="20"/>
          <w:szCs w:val="20"/>
        </w:rPr>
        <w:t xml:space="preserve">been so </w:t>
      </w:r>
      <w:r w:rsidR="00F57918">
        <w:rPr>
          <w:rFonts w:ascii="Arial" w:hAnsi="Arial" w:cs="Arial"/>
          <w:color w:val="000000"/>
          <w:sz w:val="20"/>
          <w:szCs w:val="20"/>
        </w:rPr>
        <w:t>ambiguous</w:t>
      </w:r>
      <w:r w:rsidR="00423CC3">
        <w:rPr>
          <w:rFonts w:ascii="Arial" w:hAnsi="Arial" w:cs="Arial"/>
          <w:color w:val="000000"/>
          <w:sz w:val="20"/>
          <w:szCs w:val="20"/>
        </w:rPr>
        <w:t xml:space="preserve"> and vague they have raised additional concerns</w:t>
      </w:r>
      <w:r w:rsidR="00F57918">
        <w:rPr>
          <w:rFonts w:ascii="Arial" w:hAnsi="Arial" w:cs="Arial"/>
          <w:color w:val="000000"/>
          <w:sz w:val="20"/>
          <w:szCs w:val="20"/>
        </w:rPr>
        <w:t xml:space="preserve">. </w:t>
      </w:r>
      <w:r w:rsidR="00423CC3">
        <w:rPr>
          <w:rFonts w:ascii="Arial" w:hAnsi="Arial" w:cs="Arial"/>
          <w:color w:val="000000"/>
          <w:sz w:val="20"/>
          <w:szCs w:val="20"/>
        </w:rPr>
        <w:t>T</w:t>
      </w:r>
      <w:r w:rsidR="00F57918" w:rsidRPr="00B74E76">
        <w:rPr>
          <w:rFonts w:ascii="Arial" w:hAnsi="Arial" w:cs="Arial"/>
          <w:color w:val="000000"/>
          <w:sz w:val="20"/>
          <w:szCs w:val="20"/>
        </w:rPr>
        <w:t>his bill should be made a two-year bill to allow more time for a meaningful discussion on the issue</w:t>
      </w:r>
      <w:r w:rsidR="00423CC3">
        <w:rPr>
          <w:rFonts w:ascii="Arial" w:hAnsi="Arial" w:cs="Arial"/>
          <w:color w:val="000000"/>
          <w:sz w:val="20"/>
          <w:szCs w:val="20"/>
        </w:rPr>
        <w:t>s</w:t>
      </w:r>
      <w:r w:rsidR="00F57918" w:rsidRPr="00B74E76">
        <w:rPr>
          <w:rFonts w:ascii="Arial" w:hAnsi="Arial" w:cs="Arial"/>
          <w:color w:val="000000"/>
          <w:sz w:val="20"/>
          <w:szCs w:val="20"/>
        </w:rPr>
        <w:t xml:space="preserve"> and a fair</w:t>
      </w:r>
      <w:r w:rsidR="00423CC3">
        <w:rPr>
          <w:rFonts w:ascii="Arial" w:hAnsi="Arial" w:cs="Arial"/>
          <w:color w:val="000000"/>
          <w:sz w:val="20"/>
          <w:szCs w:val="20"/>
        </w:rPr>
        <w:t xml:space="preserve"> local </w:t>
      </w:r>
      <w:r w:rsidR="00F57918" w:rsidRPr="00B74E76">
        <w:rPr>
          <w:rFonts w:ascii="Arial" w:hAnsi="Arial" w:cs="Arial"/>
          <w:color w:val="000000"/>
          <w:sz w:val="20"/>
          <w:szCs w:val="20"/>
        </w:rPr>
        <w:t>process.  </w:t>
      </w:r>
    </w:p>
    <w:p w14:paraId="3DDE989C" w14:textId="77777777" w:rsidR="00CC1621" w:rsidRDefault="00CC1621" w:rsidP="00FD3BD2">
      <w:pPr>
        <w:widowControl w:val="0"/>
        <w:tabs>
          <w:tab w:val="left" w:pos="220"/>
          <w:tab w:val="left" w:pos="720"/>
          <w:tab w:val="left" w:pos="2427"/>
        </w:tabs>
        <w:autoSpaceDE w:val="0"/>
        <w:autoSpaceDN w:val="0"/>
        <w:adjustRightInd w:val="0"/>
        <w:jc w:val="both"/>
        <w:rPr>
          <w:rFonts w:ascii="Arial" w:hAnsi="Arial" w:cs="Arial"/>
          <w:color w:val="000000"/>
          <w:sz w:val="20"/>
          <w:szCs w:val="20"/>
        </w:rPr>
      </w:pPr>
    </w:p>
    <w:p w14:paraId="1F91730A" w14:textId="0B97E1F7" w:rsidR="00CC1621" w:rsidRDefault="00CC1621" w:rsidP="00FD3BD2">
      <w:pPr>
        <w:widowControl w:val="0"/>
        <w:tabs>
          <w:tab w:val="left" w:pos="220"/>
          <w:tab w:val="left" w:pos="720"/>
          <w:tab w:val="left" w:pos="2427"/>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Some Cities have put forward proposed amendments to the bill, all of which have </w:t>
      </w:r>
      <w:r w:rsidR="00423CC3">
        <w:rPr>
          <w:rFonts w:ascii="Arial" w:hAnsi="Arial" w:cs="Arial"/>
          <w:color w:val="000000"/>
          <w:sz w:val="20"/>
          <w:szCs w:val="20"/>
        </w:rPr>
        <w:t>been refused by the sponsors of the bill</w:t>
      </w:r>
      <w:r>
        <w:rPr>
          <w:rFonts w:ascii="Arial" w:hAnsi="Arial" w:cs="Arial"/>
          <w:color w:val="000000"/>
          <w:sz w:val="20"/>
          <w:szCs w:val="20"/>
        </w:rPr>
        <w:t>. The coalition of local government opposition continues to grow</w:t>
      </w:r>
      <w:r w:rsidR="00423CC3">
        <w:rPr>
          <w:rFonts w:ascii="Arial" w:hAnsi="Arial" w:cs="Arial"/>
          <w:color w:val="000000"/>
          <w:sz w:val="20"/>
          <w:szCs w:val="20"/>
        </w:rPr>
        <w:t xml:space="preserve">, the </w:t>
      </w:r>
      <w:r>
        <w:rPr>
          <w:rFonts w:ascii="Arial" w:hAnsi="Arial" w:cs="Arial"/>
          <w:color w:val="000000"/>
          <w:sz w:val="20"/>
          <w:szCs w:val="20"/>
        </w:rPr>
        <w:t>Teamsters and the Labor Fede</w:t>
      </w:r>
      <w:r w:rsidR="0063483D">
        <w:rPr>
          <w:rFonts w:ascii="Arial" w:hAnsi="Arial" w:cs="Arial"/>
          <w:color w:val="000000"/>
          <w:sz w:val="20"/>
          <w:szCs w:val="20"/>
        </w:rPr>
        <w:t>ration are now also opposed</w:t>
      </w:r>
      <w:r w:rsidR="00423CC3">
        <w:rPr>
          <w:rFonts w:ascii="Arial" w:hAnsi="Arial" w:cs="Arial"/>
          <w:color w:val="000000"/>
          <w:sz w:val="20"/>
          <w:szCs w:val="20"/>
        </w:rPr>
        <w:t>,</w:t>
      </w:r>
      <w:r w:rsidR="0063483D">
        <w:rPr>
          <w:rFonts w:ascii="Arial" w:hAnsi="Arial" w:cs="Arial"/>
          <w:color w:val="000000"/>
          <w:sz w:val="20"/>
          <w:szCs w:val="20"/>
        </w:rPr>
        <w:t xml:space="preserve"> </w:t>
      </w:r>
      <w:r>
        <w:rPr>
          <w:rFonts w:ascii="Arial" w:hAnsi="Arial" w:cs="Arial"/>
          <w:color w:val="000000"/>
          <w:sz w:val="20"/>
          <w:szCs w:val="20"/>
        </w:rPr>
        <w:t xml:space="preserve">and the list of </w:t>
      </w:r>
      <w:r w:rsidR="00423CC3">
        <w:rPr>
          <w:rFonts w:ascii="Arial" w:hAnsi="Arial" w:cs="Arial"/>
          <w:color w:val="000000"/>
          <w:sz w:val="20"/>
          <w:szCs w:val="20"/>
        </w:rPr>
        <w:t xml:space="preserve">individual </w:t>
      </w:r>
      <w:r>
        <w:rPr>
          <w:rFonts w:ascii="Arial" w:hAnsi="Arial" w:cs="Arial"/>
          <w:color w:val="000000"/>
          <w:sz w:val="20"/>
          <w:szCs w:val="20"/>
        </w:rPr>
        <w:t xml:space="preserve">cities and counties </w:t>
      </w:r>
      <w:r w:rsidR="0063483D">
        <w:rPr>
          <w:rFonts w:ascii="Arial" w:hAnsi="Arial" w:cs="Arial"/>
          <w:color w:val="000000"/>
          <w:sz w:val="20"/>
          <w:szCs w:val="20"/>
        </w:rPr>
        <w:t>registering opposition</w:t>
      </w:r>
      <w:r w:rsidR="00423CC3">
        <w:rPr>
          <w:rFonts w:ascii="Arial" w:hAnsi="Arial" w:cs="Arial"/>
          <w:color w:val="000000"/>
          <w:sz w:val="20"/>
          <w:szCs w:val="20"/>
        </w:rPr>
        <w:t xml:space="preserve"> has increased substantially in recent months</w:t>
      </w:r>
      <w:r>
        <w:rPr>
          <w:rFonts w:ascii="Arial" w:hAnsi="Arial" w:cs="Arial"/>
          <w:color w:val="000000"/>
          <w:sz w:val="20"/>
          <w:szCs w:val="20"/>
        </w:rPr>
        <w:t>. The Department of Finance recently took an oppose position on the bill and meetings have been held with the Governor and his staff</w:t>
      </w:r>
      <w:r w:rsidR="00483E8A">
        <w:rPr>
          <w:rFonts w:ascii="Arial" w:hAnsi="Arial" w:cs="Arial"/>
          <w:color w:val="000000"/>
          <w:sz w:val="20"/>
          <w:szCs w:val="20"/>
        </w:rPr>
        <w:t xml:space="preserve"> to discuss the bill’s detrimental impacts</w:t>
      </w:r>
      <w:r>
        <w:rPr>
          <w:rFonts w:ascii="Arial" w:hAnsi="Arial" w:cs="Arial"/>
          <w:color w:val="000000"/>
          <w:sz w:val="20"/>
          <w:szCs w:val="20"/>
        </w:rPr>
        <w:t xml:space="preserve">. </w:t>
      </w:r>
      <w:r w:rsidR="0063483D">
        <w:rPr>
          <w:rFonts w:ascii="Arial" w:hAnsi="Arial" w:cs="Arial"/>
          <w:color w:val="000000"/>
          <w:sz w:val="20"/>
          <w:szCs w:val="20"/>
        </w:rPr>
        <w:t xml:space="preserve">The bill has also been heavily covered by the press, with nearly every major editorial board coming out in opposition to the bill. </w:t>
      </w:r>
      <w:r w:rsidR="00483E8A">
        <w:rPr>
          <w:rFonts w:ascii="Arial" w:hAnsi="Arial" w:cs="Arial"/>
          <w:color w:val="000000"/>
          <w:sz w:val="20"/>
          <w:szCs w:val="20"/>
        </w:rPr>
        <w:t>With this substantial opposition, we are continuing to actively lobby against the bill and will be asking the Governor to veto SB 649 should it reach his desk.</w:t>
      </w:r>
    </w:p>
    <w:p w14:paraId="7CAE833B" w14:textId="77777777" w:rsidR="00874865" w:rsidRDefault="00874865" w:rsidP="00FD3BD2">
      <w:pPr>
        <w:widowControl w:val="0"/>
        <w:tabs>
          <w:tab w:val="left" w:pos="220"/>
          <w:tab w:val="left" w:pos="720"/>
          <w:tab w:val="left" w:pos="2427"/>
        </w:tabs>
        <w:autoSpaceDE w:val="0"/>
        <w:autoSpaceDN w:val="0"/>
        <w:adjustRightInd w:val="0"/>
        <w:jc w:val="both"/>
        <w:rPr>
          <w:rFonts w:ascii="Arial" w:hAnsi="Arial" w:cs="Arial"/>
          <w:color w:val="000000"/>
          <w:sz w:val="20"/>
          <w:szCs w:val="20"/>
        </w:rPr>
      </w:pPr>
    </w:p>
    <w:p w14:paraId="768FCBA9" w14:textId="1E17F48A" w:rsidR="00FD3BD2" w:rsidRDefault="00992605"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u w:val="single"/>
        </w:rPr>
      </w:pPr>
      <w:r w:rsidRPr="00593E93">
        <w:rPr>
          <w:rFonts w:ascii="Arial" w:hAnsi="Arial" w:cs="Arial"/>
          <w:b/>
          <w:color w:val="000000"/>
          <w:sz w:val="20"/>
          <w:szCs w:val="20"/>
          <w:highlight w:val="yellow"/>
          <w:u w:val="single"/>
        </w:rPr>
        <w:t>Other Important Hot Bills:</w:t>
      </w:r>
      <w:r>
        <w:rPr>
          <w:rFonts w:ascii="Arial" w:hAnsi="Arial" w:cs="Arial"/>
          <w:b/>
          <w:color w:val="000000"/>
          <w:sz w:val="20"/>
          <w:szCs w:val="20"/>
          <w:u w:val="single"/>
        </w:rPr>
        <w:t xml:space="preserve"> </w:t>
      </w:r>
    </w:p>
    <w:p w14:paraId="2C418F13" w14:textId="4F9E9DD1" w:rsidR="00E61B26" w:rsidRDefault="00E61B26"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AB 73 – New Housing Sustainability Districts</w:t>
      </w:r>
    </w:p>
    <w:p w14:paraId="4E41AB8C" w14:textId="77777777" w:rsidR="00E61B26" w:rsidRPr="00273085" w:rsidRDefault="00E61B26" w:rsidP="00E61B26">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Support</w:t>
      </w:r>
    </w:p>
    <w:p w14:paraId="13193465" w14:textId="6B77680A" w:rsidR="00E61B26" w:rsidRPr="00E61B26" w:rsidRDefault="008E2D8B" w:rsidP="00FD3BD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Location: Senate</w:t>
      </w:r>
      <w:r w:rsidR="00E61B26">
        <w:rPr>
          <w:rFonts w:ascii="Arial" w:hAnsi="Arial" w:cs="Arial"/>
          <w:i/>
          <w:color w:val="000000"/>
          <w:sz w:val="20"/>
          <w:szCs w:val="20"/>
        </w:rPr>
        <w:t xml:space="preserve"> Floor </w:t>
      </w:r>
    </w:p>
    <w:p w14:paraId="4F13D4F3" w14:textId="130F9ECD" w:rsidR="00992605" w:rsidRDefault="001B23E2"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AB 352 – Efficiency unit requirements </w:t>
      </w:r>
    </w:p>
    <w:p w14:paraId="48C961A4" w14:textId="77777777"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Support</w:t>
      </w:r>
    </w:p>
    <w:p w14:paraId="70B3A52B" w14:textId="36D46599"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Assembly Floor </w:t>
      </w:r>
    </w:p>
    <w:p w14:paraId="589B02B0" w14:textId="77726356" w:rsidR="001B23E2" w:rsidRDefault="001B23E2" w:rsidP="001B23E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AB 494 – Assessory dwelling unit clean up </w:t>
      </w:r>
    </w:p>
    <w:p w14:paraId="4DC2F1C1" w14:textId="4B7B8361"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Watching for substantive amendments </w:t>
      </w:r>
    </w:p>
    <w:p w14:paraId="4AC14E75" w14:textId="1479270C" w:rsidR="001B23E2" w:rsidRPr="00273085" w:rsidRDefault="0063483D"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Location: Senate</w:t>
      </w:r>
      <w:r w:rsidR="001B23E2">
        <w:rPr>
          <w:rFonts w:ascii="Arial" w:hAnsi="Arial" w:cs="Arial"/>
          <w:i/>
          <w:color w:val="000000"/>
          <w:sz w:val="20"/>
          <w:szCs w:val="20"/>
        </w:rPr>
        <w:t xml:space="preserve"> Floor </w:t>
      </w:r>
    </w:p>
    <w:p w14:paraId="7566A177" w14:textId="3E016D5B" w:rsidR="001B23E2" w:rsidRDefault="001B23E2"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AB 565 – Alternative building standards for artists</w:t>
      </w:r>
    </w:p>
    <w:p w14:paraId="44B03CF5" w14:textId="3FC505E4"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sidR="00C95402">
        <w:rPr>
          <w:rFonts w:ascii="Arial" w:hAnsi="Arial" w:cs="Arial"/>
          <w:i/>
          <w:color w:val="000000"/>
          <w:sz w:val="20"/>
          <w:szCs w:val="20"/>
        </w:rPr>
        <w:t>Watch</w:t>
      </w:r>
      <w:bookmarkStart w:id="0" w:name="_GoBack"/>
      <w:bookmarkEnd w:id="0"/>
      <w:r>
        <w:rPr>
          <w:rFonts w:ascii="Arial" w:hAnsi="Arial" w:cs="Arial"/>
          <w:i/>
          <w:color w:val="000000"/>
          <w:sz w:val="20"/>
          <w:szCs w:val="20"/>
        </w:rPr>
        <w:t xml:space="preserve"> </w:t>
      </w:r>
    </w:p>
    <w:p w14:paraId="381F6862" w14:textId="540B91DE"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Two-Year Bill  </w:t>
      </w:r>
    </w:p>
    <w:p w14:paraId="5D634739" w14:textId="5A48AE2D" w:rsidR="001B23E2" w:rsidRDefault="001B23E2"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AB 865 – Amnesty for non-compliant live/work buildings </w:t>
      </w:r>
    </w:p>
    <w:p w14:paraId="3077F994" w14:textId="05AE6A2D"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Oppose </w:t>
      </w:r>
    </w:p>
    <w:p w14:paraId="7013D21D" w14:textId="77777777" w:rsidR="001B23E2"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Two-Year Bill  </w:t>
      </w:r>
    </w:p>
    <w:p w14:paraId="74D850BD" w14:textId="77777777" w:rsidR="002E20EB" w:rsidRPr="00E61B26" w:rsidRDefault="002E20EB" w:rsidP="002E20EB">
      <w:pPr>
        <w:rPr>
          <w:rFonts w:ascii="Arial" w:hAnsi="Arial" w:cs="Arial"/>
          <w:color w:val="000000"/>
          <w:sz w:val="20"/>
          <w:szCs w:val="20"/>
        </w:rPr>
      </w:pPr>
      <w:r w:rsidRPr="00E61B26">
        <w:rPr>
          <w:rFonts w:ascii="Arial" w:hAnsi="Arial" w:cs="Arial"/>
          <w:b/>
          <w:bCs/>
          <w:color w:val="000000"/>
          <w:sz w:val="20"/>
          <w:szCs w:val="20"/>
        </w:rPr>
        <w:t>AB 1250 – County Personal Services Contracts Restrictions</w:t>
      </w:r>
    </w:p>
    <w:p w14:paraId="299E4950" w14:textId="77777777" w:rsidR="002E20EB" w:rsidRPr="00E61B26" w:rsidRDefault="002E20EB" w:rsidP="002E20EB">
      <w:pPr>
        <w:rPr>
          <w:rFonts w:ascii="Arial" w:hAnsi="Arial" w:cs="Arial"/>
          <w:color w:val="000000"/>
          <w:sz w:val="20"/>
          <w:szCs w:val="20"/>
        </w:rPr>
      </w:pPr>
      <w:r w:rsidRPr="00E61B26">
        <w:rPr>
          <w:rFonts w:ascii="Arial" w:hAnsi="Arial" w:cs="Arial"/>
          <w:i/>
          <w:iCs/>
          <w:color w:val="000000"/>
          <w:sz w:val="20"/>
          <w:szCs w:val="20"/>
        </w:rPr>
        <w:t>Position: Oppose</w:t>
      </w:r>
    </w:p>
    <w:p w14:paraId="02B7F512" w14:textId="32B1DE15" w:rsidR="002E20EB" w:rsidRPr="00E61B26" w:rsidRDefault="008E2D8B" w:rsidP="002E20EB">
      <w:pPr>
        <w:rPr>
          <w:rFonts w:ascii="Arial" w:hAnsi="Arial" w:cs="Arial"/>
          <w:color w:val="000000"/>
          <w:sz w:val="20"/>
          <w:szCs w:val="20"/>
        </w:rPr>
      </w:pPr>
      <w:r>
        <w:rPr>
          <w:rFonts w:ascii="Arial" w:hAnsi="Arial" w:cs="Arial"/>
          <w:i/>
          <w:iCs/>
          <w:color w:val="000000"/>
          <w:sz w:val="20"/>
          <w:szCs w:val="20"/>
        </w:rPr>
        <w:t>Location: Senate</w:t>
      </w:r>
      <w:r w:rsidR="002E20EB" w:rsidRPr="00E61B26">
        <w:rPr>
          <w:rFonts w:ascii="Arial" w:hAnsi="Arial" w:cs="Arial"/>
          <w:i/>
          <w:iCs/>
          <w:color w:val="000000"/>
          <w:sz w:val="20"/>
          <w:szCs w:val="20"/>
        </w:rPr>
        <w:t xml:space="preserve"> Rules Committee</w:t>
      </w:r>
    </w:p>
    <w:p w14:paraId="7E0FEB5B" w14:textId="28C89AED" w:rsidR="001B23E2" w:rsidRDefault="001B23E2"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AB 1404 – CEQA infill exemption </w:t>
      </w:r>
    </w:p>
    <w:p w14:paraId="297393B7" w14:textId="6288B34E"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Support </w:t>
      </w:r>
    </w:p>
    <w:p w14:paraId="6AFA9002" w14:textId="2292D262" w:rsidR="001B23E2" w:rsidRPr="001B23E2" w:rsidRDefault="001B23E2" w:rsidP="00FD3BD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Two-Year Bill  </w:t>
      </w:r>
    </w:p>
    <w:p w14:paraId="368BB4FA" w14:textId="17DCD36B" w:rsidR="00992605" w:rsidRDefault="00992605"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AB 1414 </w:t>
      </w:r>
      <w:r w:rsidR="00E61B26">
        <w:rPr>
          <w:rFonts w:ascii="Arial" w:hAnsi="Arial" w:cs="Arial"/>
          <w:b/>
          <w:color w:val="000000"/>
          <w:sz w:val="20"/>
          <w:szCs w:val="20"/>
        </w:rPr>
        <w:t xml:space="preserve">- </w:t>
      </w:r>
      <w:r w:rsidR="001B23E2">
        <w:rPr>
          <w:rFonts w:ascii="Arial" w:hAnsi="Arial" w:cs="Arial"/>
          <w:b/>
          <w:color w:val="000000"/>
          <w:sz w:val="20"/>
          <w:szCs w:val="20"/>
        </w:rPr>
        <w:t>Solar energy system p</w:t>
      </w:r>
      <w:r w:rsidRPr="00992605">
        <w:rPr>
          <w:rFonts w:ascii="Arial" w:hAnsi="Arial" w:cs="Arial"/>
          <w:b/>
          <w:color w:val="000000"/>
          <w:sz w:val="20"/>
          <w:szCs w:val="20"/>
        </w:rPr>
        <w:t xml:space="preserve">ermitting </w:t>
      </w:r>
    </w:p>
    <w:p w14:paraId="53C4A4EF" w14:textId="36B1503E"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Oppose </w:t>
      </w:r>
    </w:p>
    <w:p w14:paraId="3076AC81" w14:textId="4B6024DA" w:rsidR="001B23E2" w:rsidRDefault="001B23E2" w:rsidP="00FD3BD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Senate Floor </w:t>
      </w:r>
    </w:p>
    <w:p w14:paraId="4A713D61" w14:textId="69F15B1F" w:rsidR="00E61B26" w:rsidRDefault="00E61B26"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E61B26">
        <w:rPr>
          <w:rFonts w:ascii="Arial" w:hAnsi="Arial" w:cs="Arial"/>
          <w:b/>
          <w:color w:val="000000"/>
          <w:sz w:val="20"/>
          <w:szCs w:val="20"/>
        </w:rPr>
        <w:t>AB 1521-</w:t>
      </w:r>
      <w:r>
        <w:rPr>
          <w:rFonts w:ascii="Arial" w:hAnsi="Arial" w:cs="Arial"/>
          <w:b/>
          <w:color w:val="000000"/>
          <w:sz w:val="20"/>
          <w:szCs w:val="20"/>
        </w:rPr>
        <w:t xml:space="preserve"> </w:t>
      </w:r>
      <w:r w:rsidRPr="00E61B26">
        <w:rPr>
          <w:rFonts w:ascii="Arial" w:hAnsi="Arial" w:cs="Arial"/>
          <w:b/>
          <w:color w:val="000000"/>
          <w:sz w:val="20"/>
          <w:szCs w:val="20"/>
        </w:rPr>
        <w:t>Notice of Loss of Assisted Housing Developments</w:t>
      </w:r>
    </w:p>
    <w:p w14:paraId="00D47DD1" w14:textId="77777777" w:rsidR="003E74F5" w:rsidRPr="00273085" w:rsidRDefault="003E74F5" w:rsidP="003E74F5">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Support</w:t>
      </w:r>
    </w:p>
    <w:p w14:paraId="72EB712C" w14:textId="0E9DF20E" w:rsidR="003E74F5" w:rsidRPr="00273085" w:rsidRDefault="008E2D8B" w:rsidP="003E74F5">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Location: Senate</w:t>
      </w:r>
      <w:r w:rsidR="003E74F5">
        <w:rPr>
          <w:rFonts w:ascii="Arial" w:hAnsi="Arial" w:cs="Arial"/>
          <w:i/>
          <w:color w:val="000000"/>
          <w:sz w:val="20"/>
          <w:szCs w:val="20"/>
        </w:rPr>
        <w:t xml:space="preserve"> Floor </w:t>
      </w:r>
    </w:p>
    <w:p w14:paraId="27624A98" w14:textId="77777777" w:rsidR="003E74F5" w:rsidRPr="00E61B26" w:rsidRDefault="003E74F5"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p>
    <w:p w14:paraId="3E0DE0C6" w14:textId="59871A12" w:rsidR="00874865" w:rsidRDefault="00874865"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AB 1568 – New sales tax option and streamlining for Enhanced Infrastructure Financing Districts</w:t>
      </w:r>
    </w:p>
    <w:p w14:paraId="3C52271C" w14:textId="22B1604B"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Support </w:t>
      </w:r>
    </w:p>
    <w:p w14:paraId="36B334EA" w14:textId="77777777" w:rsidR="001B23E2" w:rsidRPr="001B23E2"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Senate Floor </w:t>
      </w:r>
    </w:p>
    <w:p w14:paraId="70C7CEB7" w14:textId="5E0CC2F8" w:rsidR="001B23E2" w:rsidRDefault="001B23E2"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SB 80 – CEQA Notices </w:t>
      </w:r>
    </w:p>
    <w:p w14:paraId="392754CB" w14:textId="6D992B7D"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Watch </w:t>
      </w:r>
    </w:p>
    <w:p w14:paraId="34ECBA73" w14:textId="629D08B6" w:rsidR="001B23E2"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Assembly Floor  </w:t>
      </w:r>
    </w:p>
    <w:p w14:paraId="6A74B6F4" w14:textId="5BAAD8CE" w:rsidR="001B23E2" w:rsidRDefault="001B23E2" w:rsidP="001B23E2">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SB 229 – Assessory dwelling unit clean up </w:t>
      </w:r>
    </w:p>
    <w:p w14:paraId="1A9B9E36" w14:textId="77777777" w:rsidR="001B23E2" w:rsidRPr="00273085"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Watching for substantive amendments </w:t>
      </w:r>
    </w:p>
    <w:p w14:paraId="5F1142D9" w14:textId="77777777" w:rsidR="001B23E2" w:rsidRDefault="001B23E2" w:rsidP="001B23E2">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Assembly Floor </w:t>
      </w:r>
    </w:p>
    <w:p w14:paraId="3EDEE48B" w14:textId="0033F795" w:rsidR="00F84CF7" w:rsidRDefault="00F84CF7" w:rsidP="00F84CF7">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SB 431 – Assessory dwelling code compliance for permitting  </w:t>
      </w:r>
    </w:p>
    <w:p w14:paraId="07F26F02" w14:textId="77325B72" w:rsidR="00F84CF7" w:rsidRPr="00273085" w:rsidRDefault="00F84CF7" w:rsidP="00F84CF7">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Concerns  </w:t>
      </w:r>
    </w:p>
    <w:p w14:paraId="7A995047" w14:textId="47EA27CB" w:rsidR="00F84CF7" w:rsidRDefault="00F84CF7" w:rsidP="00F84CF7">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w:t>
      </w:r>
      <w:r w:rsidR="008E2D8B">
        <w:rPr>
          <w:rFonts w:ascii="Arial" w:hAnsi="Arial" w:cs="Arial"/>
          <w:i/>
          <w:color w:val="000000"/>
          <w:sz w:val="20"/>
          <w:szCs w:val="20"/>
        </w:rPr>
        <w:t>Two-Year Bill</w:t>
      </w:r>
      <w:r>
        <w:rPr>
          <w:rFonts w:ascii="Arial" w:hAnsi="Arial" w:cs="Arial"/>
          <w:i/>
          <w:color w:val="000000"/>
          <w:sz w:val="20"/>
          <w:szCs w:val="20"/>
        </w:rPr>
        <w:t xml:space="preserve"> </w:t>
      </w:r>
    </w:p>
    <w:p w14:paraId="4D61924E" w14:textId="6B69AC36" w:rsidR="003E74F5" w:rsidRPr="003E74F5" w:rsidRDefault="003E74F5" w:rsidP="00F84CF7">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sidRPr="003E74F5">
        <w:rPr>
          <w:rFonts w:ascii="Arial" w:hAnsi="Arial" w:cs="Arial"/>
          <w:b/>
          <w:color w:val="000000"/>
          <w:sz w:val="20"/>
          <w:szCs w:val="20"/>
        </w:rPr>
        <w:t>SB 540 – Workforce Housing Opportunity Zones</w:t>
      </w:r>
    </w:p>
    <w:p w14:paraId="50008582" w14:textId="77777777" w:rsidR="003E74F5" w:rsidRPr="00273085" w:rsidRDefault="003E74F5" w:rsidP="003E74F5">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Support</w:t>
      </w:r>
    </w:p>
    <w:p w14:paraId="4D630954" w14:textId="308FA5A4" w:rsidR="003E74F5" w:rsidRDefault="003E74F5" w:rsidP="00F84CF7">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Assembly Floor </w:t>
      </w:r>
    </w:p>
    <w:p w14:paraId="02E7DD4C" w14:textId="70D5FCBE" w:rsidR="00F84CF7" w:rsidRDefault="00F84CF7" w:rsidP="00F84CF7">
      <w:pPr>
        <w:widowControl w:val="0"/>
        <w:tabs>
          <w:tab w:val="left" w:pos="220"/>
          <w:tab w:val="left" w:pos="720"/>
          <w:tab w:val="left" w:pos="2427"/>
        </w:tabs>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SB 697 – Development impact fee reporting and restrictions </w:t>
      </w:r>
    </w:p>
    <w:p w14:paraId="14214E1B" w14:textId="73EE93A9" w:rsidR="00F84CF7" w:rsidRPr="00273085" w:rsidRDefault="00F84CF7" w:rsidP="00F84CF7">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sidRPr="00273085">
        <w:rPr>
          <w:rFonts w:ascii="Arial" w:hAnsi="Arial" w:cs="Arial"/>
          <w:i/>
          <w:color w:val="000000"/>
          <w:sz w:val="20"/>
          <w:szCs w:val="20"/>
        </w:rPr>
        <w:t xml:space="preserve">Position: </w:t>
      </w:r>
      <w:r>
        <w:rPr>
          <w:rFonts w:ascii="Arial" w:hAnsi="Arial" w:cs="Arial"/>
          <w:i/>
          <w:color w:val="000000"/>
          <w:sz w:val="20"/>
          <w:szCs w:val="20"/>
        </w:rPr>
        <w:t xml:space="preserve">Opposed </w:t>
      </w:r>
    </w:p>
    <w:p w14:paraId="5CBE1CB4" w14:textId="7C6B8639" w:rsidR="00F84CF7" w:rsidRDefault="00F84CF7" w:rsidP="00F84CF7">
      <w:pPr>
        <w:widowControl w:val="0"/>
        <w:tabs>
          <w:tab w:val="left" w:pos="220"/>
          <w:tab w:val="left" w:pos="720"/>
          <w:tab w:val="left" w:pos="2427"/>
        </w:tabs>
        <w:autoSpaceDE w:val="0"/>
        <w:autoSpaceDN w:val="0"/>
        <w:adjustRightInd w:val="0"/>
        <w:jc w:val="both"/>
        <w:rPr>
          <w:rFonts w:ascii="Arial" w:hAnsi="Arial" w:cs="Arial"/>
          <w:i/>
          <w:color w:val="000000"/>
          <w:sz w:val="20"/>
          <w:szCs w:val="20"/>
        </w:rPr>
      </w:pPr>
      <w:r>
        <w:rPr>
          <w:rFonts w:ascii="Arial" w:hAnsi="Arial" w:cs="Arial"/>
          <w:i/>
          <w:color w:val="000000"/>
          <w:sz w:val="20"/>
          <w:szCs w:val="20"/>
        </w:rPr>
        <w:t xml:space="preserve">Location: Two-Year Bill  </w:t>
      </w:r>
    </w:p>
    <w:p w14:paraId="5F346470" w14:textId="77777777" w:rsidR="00874865" w:rsidRPr="00273085" w:rsidRDefault="00874865" w:rsidP="00FD3BD2">
      <w:pPr>
        <w:widowControl w:val="0"/>
        <w:tabs>
          <w:tab w:val="left" w:pos="220"/>
          <w:tab w:val="left" w:pos="720"/>
          <w:tab w:val="left" w:pos="2427"/>
        </w:tabs>
        <w:autoSpaceDE w:val="0"/>
        <w:autoSpaceDN w:val="0"/>
        <w:adjustRightInd w:val="0"/>
        <w:jc w:val="both"/>
        <w:rPr>
          <w:rFonts w:ascii="Arial" w:hAnsi="Arial" w:cs="Arial"/>
          <w:b/>
          <w:color w:val="000000"/>
          <w:sz w:val="20"/>
          <w:szCs w:val="20"/>
          <w:u w:val="single"/>
        </w:rPr>
      </w:pPr>
    </w:p>
    <w:p w14:paraId="581D1B98" w14:textId="77777777" w:rsidR="005D6658" w:rsidRPr="00273085" w:rsidRDefault="005D6658" w:rsidP="005D6658">
      <w:pPr>
        <w:widowControl w:val="0"/>
        <w:tabs>
          <w:tab w:val="left" w:pos="220"/>
          <w:tab w:val="left" w:pos="720"/>
          <w:tab w:val="left" w:pos="2427"/>
        </w:tabs>
        <w:autoSpaceDE w:val="0"/>
        <w:autoSpaceDN w:val="0"/>
        <w:adjustRightInd w:val="0"/>
        <w:jc w:val="both"/>
        <w:outlineLvl w:val="0"/>
        <w:rPr>
          <w:rFonts w:ascii="Arial" w:hAnsi="Arial" w:cs="Arial"/>
          <w:b/>
          <w:color w:val="000000"/>
          <w:sz w:val="20"/>
          <w:szCs w:val="20"/>
          <w:u w:val="single"/>
        </w:rPr>
      </w:pPr>
      <w:r w:rsidRPr="00273085">
        <w:rPr>
          <w:rFonts w:ascii="Arial" w:hAnsi="Arial" w:cs="Arial"/>
          <w:b/>
          <w:color w:val="000000"/>
          <w:sz w:val="20"/>
          <w:szCs w:val="20"/>
          <w:u w:val="single"/>
        </w:rPr>
        <w:t>All Hot Bills</w:t>
      </w:r>
    </w:p>
    <w:p w14:paraId="6FB88C74" w14:textId="77777777" w:rsidR="005D6658" w:rsidRPr="00273085" w:rsidRDefault="005D6658" w:rsidP="005D6658">
      <w:pPr>
        <w:widowControl w:val="0"/>
        <w:tabs>
          <w:tab w:val="left" w:pos="220"/>
          <w:tab w:val="left" w:pos="720"/>
          <w:tab w:val="left" w:pos="2427"/>
        </w:tabs>
        <w:autoSpaceDE w:val="0"/>
        <w:autoSpaceDN w:val="0"/>
        <w:adjustRightInd w:val="0"/>
        <w:jc w:val="both"/>
        <w:rPr>
          <w:rFonts w:ascii="Arial" w:hAnsi="Arial" w:cs="Arial"/>
          <w:color w:val="000000"/>
          <w:sz w:val="20"/>
          <w:szCs w:val="20"/>
        </w:rPr>
      </w:pPr>
      <w:r w:rsidRPr="00273085">
        <w:rPr>
          <w:rFonts w:ascii="Arial" w:hAnsi="Arial" w:cs="Arial"/>
          <w:color w:val="000000"/>
          <w:sz w:val="20"/>
          <w:szCs w:val="20"/>
        </w:rPr>
        <w:t xml:space="preserve">To view the full list of hot planning bills, copies of the measures, up-to-the minute status and APA California letters and positions, please continue to visit the legislative page on APA California’s website at </w:t>
      </w:r>
      <w:hyperlink r:id="rId10" w:history="1">
        <w:r w:rsidRPr="00273085">
          <w:rPr>
            <w:rStyle w:val="Hyperlink"/>
            <w:rFonts w:ascii="Arial" w:hAnsi="Arial" w:cs="Arial"/>
            <w:sz w:val="20"/>
            <w:szCs w:val="20"/>
          </w:rPr>
          <w:t>www.apacalifornia.org</w:t>
        </w:r>
      </w:hyperlink>
      <w:r w:rsidRPr="00273085">
        <w:rPr>
          <w:rFonts w:ascii="Arial" w:hAnsi="Arial" w:cs="Arial"/>
          <w:color w:val="000000"/>
          <w:sz w:val="20"/>
          <w:szCs w:val="20"/>
        </w:rPr>
        <w:t>.</w:t>
      </w:r>
    </w:p>
    <w:p w14:paraId="15F1301C" w14:textId="77777777" w:rsidR="00875EC2" w:rsidRPr="00273085" w:rsidRDefault="00E317F8">
      <w:pPr>
        <w:rPr>
          <w:rFonts w:ascii="Arial" w:hAnsi="Arial" w:cs="Arial"/>
          <w:sz w:val="20"/>
          <w:szCs w:val="20"/>
        </w:rPr>
      </w:pPr>
    </w:p>
    <w:sectPr w:rsidR="00875EC2" w:rsidRPr="00273085" w:rsidSect="00370AD4">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88A88" w14:textId="77777777" w:rsidR="00E317F8" w:rsidRDefault="00E317F8">
      <w:r>
        <w:separator/>
      </w:r>
    </w:p>
  </w:endnote>
  <w:endnote w:type="continuationSeparator" w:id="0">
    <w:p w14:paraId="62D8618B" w14:textId="77777777" w:rsidR="00E317F8" w:rsidRDefault="00E3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52F2" w14:textId="77777777" w:rsidR="008748FB" w:rsidRDefault="004A06D9" w:rsidP="003E73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9E74E" w14:textId="77777777" w:rsidR="008748FB" w:rsidRDefault="00E317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8511" w14:textId="77777777" w:rsidR="008748FB" w:rsidRDefault="004A06D9" w:rsidP="003E73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7F8">
      <w:rPr>
        <w:rStyle w:val="PageNumber"/>
        <w:noProof/>
      </w:rPr>
      <w:t>1</w:t>
    </w:r>
    <w:r>
      <w:rPr>
        <w:rStyle w:val="PageNumber"/>
      </w:rPr>
      <w:fldChar w:fldCharType="end"/>
    </w:r>
  </w:p>
  <w:p w14:paraId="1F66A928" w14:textId="77777777" w:rsidR="008748FB" w:rsidRDefault="00E317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471A6" w14:textId="77777777" w:rsidR="00E317F8" w:rsidRDefault="00E317F8">
      <w:r>
        <w:separator/>
      </w:r>
    </w:p>
  </w:footnote>
  <w:footnote w:type="continuationSeparator" w:id="0">
    <w:p w14:paraId="3EE47A7A" w14:textId="77777777" w:rsidR="00E317F8" w:rsidRDefault="00E317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81A69"/>
    <w:multiLevelType w:val="hybridMultilevel"/>
    <w:tmpl w:val="C2E2FE5E"/>
    <w:lvl w:ilvl="0" w:tplc="28BE52F2">
      <w:start w:val="1"/>
      <w:numFmt w:val="bullet"/>
      <w:lvlText w:val="•"/>
      <w:lvlJc w:val="left"/>
      <w:pPr>
        <w:tabs>
          <w:tab w:val="num" w:pos="720"/>
        </w:tabs>
        <w:ind w:left="720" w:hanging="360"/>
      </w:pPr>
      <w:rPr>
        <w:rFonts w:ascii="Arial" w:hAnsi="Arial" w:hint="default"/>
      </w:rPr>
    </w:lvl>
    <w:lvl w:ilvl="1" w:tplc="91D288E6" w:tentative="1">
      <w:start w:val="1"/>
      <w:numFmt w:val="bullet"/>
      <w:lvlText w:val="•"/>
      <w:lvlJc w:val="left"/>
      <w:pPr>
        <w:tabs>
          <w:tab w:val="num" w:pos="1440"/>
        </w:tabs>
        <w:ind w:left="1440" w:hanging="360"/>
      </w:pPr>
      <w:rPr>
        <w:rFonts w:ascii="Arial" w:hAnsi="Arial" w:hint="default"/>
      </w:rPr>
    </w:lvl>
    <w:lvl w:ilvl="2" w:tplc="646CEC98" w:tentative="1">
      <w:start w:val="1"/>
      <w:numFmt w:val="bullet"/>
      <w:lvlText w:val="•"/>
      <w:lvlJc w:val="left"/>
      <w:pPr>
        <w:tabs>
          <w:tab w:val="num" w:pos="2160"/>
        </w:tabs>
        <w:ind w:left="2160" w:hanging="360"/>
      </w:pPr>
      <w:rPr>
        <w:rFonts w:ascii="Arial" w:hAnsi="Arial" w:hint="default"/>
      </w:rPr>
    </w:lvl>
    <w:lvl w:ilvl="3" w:tplc="20E2DCB2" w:tentative="1">
      <w:start w:val="1"/>
      <w:numFmt w:val="bullet"/>
      <w:lvlText w:val="•"/>
      <w:lvlJc w:val="left"/>
      <w:pPr>
        <w:tabs>
          <w:tab w:val="num" w:pos="2880"/>
        </w:tabs>
        <w:ind w:left="2880" w:hanging="360"/>
      </w:pPr>
      <w:rPr>
        <w:rFonts w:ascii="Arial" w:hAnsi="Arial" w:hint="default"/>
      </w:rPr>
    </w:lvl>
    <w:lvl w:ilvl="4" w:tplc="1E0E818C" w:tentative="1">
      <w:start w:val="1"/>
      <w:numFmt w:val="bullet"/>
      <w:lvlText w:val="•"/>
      <w:lvlJc w:val="left"/>
      <w:pPr>
        <w:tabs>
          <w:tab w:val="num" w:pos="3600"/>
        </w:tabs>
        <w:ind w:left="3600" w:hanging="360"/>
      </w:pPr>
      <w:rPr>
        <w:rFonts w:ascii="Arial" w:hAnsi="Arial" w:hint="default"/>
      </w:rPr>
    </w:lvl>
    <w:lvl w:ilvl="5" w:tplc="78EA1EAE" w:tentative="1">
      <w:start w:val="1"/>
      <w:numFmt w:val="bullet"/>
      <w:lvlText w:val="•"/>
      <w:lvlJc w:val="left"/>
      <w:pPr>
        <w:tabs>
          <w:tab w:val="num" w:pos="4320"/>
        </w:tabs>
        <w:ind w:left="4320" w:hanging="360"/>
      </w:pPr>
      <w:rPr>
        <w:rFonts w:ascii="Arial" w:hAnsi="Arial" w:hint="default"/>
      </w:rPr>
    </w:lvl>
    <w:lvl w:ilvl="6" w:tplc="507290B8" w:tentative="1">
      <w:start w:val="1"/>
      <w:numFmt w:val="bullet"/>
      <w:lvlText w:val="•"/>
      <w:lvlJc w:val="left"/>
      <w:pPr>
        <w:tabs>
          <w:tab w:val="num" w:pos="5040"/>
        </w:tabs>
        <w:ind w:left="5040" w:hanging="360"/>
      </w:pPr>
      <w:rPr>
        <w:rFonts w:ascii="Arial" w:hAnsi="Arial" w:hint="default"/>
      </w:rPr>
    </w:lvl>
    <w:lvl w:ilvl="7" w:tplc="801C493E" w:tentative="1">
      <w:start w:val="1"/>
      <w:numFmt w:val="bullet"/>
      <w:lvlText w:val="•"/>
      <w:lvlJc w:val="left"/>
      <w:pPr>
        <w:tabs>
          <w:tab w:val="num" w:pos="5760"/>
        </w:tabs>
        <w:ind w:left="5760" w:hanging="360"/>
      </w:pPr>
      <w:rPr>
        <w:rFonts w:ascii="Arial" w:hAnsi="Arial" w:hint="default"/>
      </w:rPr>
    </w:lvl>
    <w:lvl w:ilvl="8" w:tplc="1BBEBC5E" w:tentative="1">
      <w:start w:val="1"/>
      <w:numFmt w:val="bullet"/>
      <w:lvlText w:val="•"/>
      <w:lvlJc w:val="left"/>
      <w:pPr>
        <w:tabs>
          <w:tab w:val="num" w:pos="6480"/>
        </w:tabs>
        <w:ind w:left="6480" w:hanging="360"/>
      </w:pPr>
      <w:rPr>
        <w:rFonts w:ascii="Arial" w:hAnsi="Arial" w:hint="default"/>
      </w:rPr>
    </w:lvl>
  </w:abstractNum>
  <w:abstractNum w:abstractNumId="1">
    <w:nsid w:val="0D6805D3"/>
    <w:multiLevelType w:val="hybridMultilevel"/>
    <w:tmpl w:val="D51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21B5D"/>
    <w:multiLevelType w:val="hybridMultilevel"/>
    <w:tmpl w:val="0C3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73C6B"/>
    <w:multiLevelType w:val="hybridMultilevel"/>
    <w:tmpl w:val="1D8AB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0E4586A"/>
    <w:multiLevelType w:val="hybridMultilevel"/>
    <w:tmpl w:val="E4EE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58"/>
    <w:rsid w:val="00061E34"/>
    <w:rsid w:val="00077F2B"/>
    <w:rsid w:val="0008680E"/>
    <w:rsid w:val="000A5BD5"/>
    <w:rsid w:val="000C19D0"/>
    <w:rsid w:val="000F4515"/>
    <w:rsid w:val="000F6AA1"/>
    <w:rsid w:val="001224BF"/>
    <w:rsid w:val="00161E0A"/>
    <w:rsid w:val="001B23E2"/>
    <w:rsid w:val="001C4E3B"/>
    <w:rsid w:val="001D299B"/>
    <w:rsid w:val="001E40D2"/>
    <w:rsid w:val="002131EE"/>
    <w:rsid w:val="00235447"/>
    <w:rsid w:val="002404BE"/>
    <w:rsid w:val="0026228A"/>
    <w:rsid w:val="00273085"/>
    <w:rsid w:val="002A689F"/>
    <w:rsid w:val="002A7DE7"/>
    <w:rsid w:val="002C087F"/>
    <w:rsid w:val="002E20EB"/>
    <w:rsid w:val="002E5CE1"/>
    <w:rsid w:val="002F4C4D"/>
    <w:rsid w:val="0031267B"/>
    <w:rsid w:val="003179D8"/>
    <w:rsid w:val="00323EFA"/>
    <w:rsid w:val="003705F4"/>
    <w:rsid w:val="00385D02"/>
    <w:rsid w:val="003A51EF"/>
    <w:rsid w:val="003C3143"/>
    <w:rsid w:val="003E2BEF"/>
    <w:rsid w:val="003E74F5"/>
    <w:rsid w:val="003F0F00"/>
    <w:rsid w:val="004143A8"/>
    <w:rsid w:val="00423CC3"/>
    <w:rsid w:val="00483E8A"/>
    <w:rsid w:val="004A06D9"/>
    <w:rsid w:val="004C4029"/>
    <w:rsid w:val="004F0DBD"/>
    <w:rsid w:val="004F3186"/>
    <w:rsid w:val="004F4CC8"/>
    <w:rsid w:val="00501A45"/>
    <w:rsid w:val="00593E93"/>
    <w:rsid w:val="00594652"/>
    <w:rsid w:val="005A1251"/>
    <w:rsid w:val="005D6658"/>
    <w:rsid w:val="005E785F"/>
    <w:rsid w:val="00627F6B"/>
    <w:rsid w:val="0063483D"/>
    <w:rsid w:val="00637E8A"/>
    <w:rsid w:val="00657597"/>
    <w:rsid w:val="0067698B"/>
    <w:rsid w:val="006E25C7"/>
    <w:rsid w:val="0070260E"/>
    <w:rsid w:val="00712C0E"/>
    <w:rsid w:val="00737844"/>
    <w:rsid w:val="007544D4"/>
    <w:rsid w:val="00754B3A"/>
    <w:rsid w:val="00782943"/>
    <w:rsid w:val="007853B6"/>
    <w:rsid w:val="007B0F3D"/>
    <w:rsid w:val="007C22E0"/>
    <w:rsid w:val="00801C58"/>
    <w:rsid w:val="0082064B"/>
    <w:rsid w:val="00824197"/>
    <w:rsid w:val="0084652B"/>
    <w:rsid w:val="0085734D"/>
    <w:rsid w:val="00871190"/>
    <w:rsid w:val="00874865"/>
    <w:rsid w:val="00892721"/>
    <w:rsid w:val="008945F9"/>
    <w:rsid w:val="008B6DA2"/>
    <w:rsid w:val="008E2D8B"/>
    <w:rsid w:val="00904986"/>
    <w:rsid w:val="009121D7"/>
    <w:rsid w:val="0092395B"/>
    <w:rsid w:val="00940FE9"/>
    <w:rsid w:val="009542B9"/>
    <w:rsid w:val="009555B4"/>
    <w:rsid w:val="00992605"/>
    <w:rsid w:val="009B55AB"/>
    <w:rsid w:val="009F2937"/>
    <w:rsid w:val="00A17459"/>
    <w:rsid w:val="00A32613"/>
    <w:rsid w:val="00A629C2"/>
    <w:rsid w:val="00A7462B"/>
    <w:rsid w:val="00A94238"/>
    <w:rsid w:val="00B0209A"/>
    <w:rsid w:val="00B31F35"/>
    <w:rsid w:val="00B70356"/>
    <w:rsid w:val="00B74E76"/>
    <w:rsid w:val="00B85913"/>
    <w:rsid w:val="00BA31D6"/>
    <w:rsid w:val="00BC6D2A"/>
    <w:rsid w:val="00C1285E"/>
    <w:rsid w:val="00C26069"/>
    <w:rsid w:val="00C27C12"/>
    <w:rsid w:val="00C74083"/>
    <w:rsid w:val="00C74C45"/>
    <w:rsid w:val="00C920E7"/>
    <w:rsid w:val="00C95402"/>
    <w:rsid w:val="00CA481D"/>
    <w:rsid w:val="00CC1621"/>
    <w:rsid w:val="00CC5A5B"/>
    <w:rsid w:val="00D11FC1"/>
    <w:rsid w:val="00D13E2F"/>
    <w:rsid w:val="00D61DC7"/>
    <w:rsid w:val="00D6742A"/>
    <w:rsid w:val="00D82027"/>
    <w:rsid w:val="00D82C09"/>
    <w:rsid w:val="00DC371B"/>
    <w:rsid w:val="00DF0CB6"/>
    <w:rsid w:val="00E13F6D"/>
    <w:rsid w:val="00E22847"/>
    <w:rsid w:val="00E24654"/>
    <w:rsid w:val="00E30D72"/>
    <w:rsid w:val="00E317F8"/>
    <w:rsid w:val="00E504AE"/>
    <w:rsid w:val="00E61B26"/>
    <w:rsid w:val="00E82835"/>
    <w:rsid w:val="00E8752E"/>
    <w:rsid w:val="00EA716D"/>
    <w:rsid w:val="00EB59C9"/>
    <w:rsid w:val="00ED31E6"/>
    <w:rsid w:val="00F0625D"/>
    <w:rsid w:val="00F06B2D"/>
    <w:rsid w:val="00F267B5"/>
    <w:rsid w:val="00F34717"/>
    <w:rsid w:val="00F3693B"/>
    <w:rsid w:val="00F42EB2"/>
    <w:rsid w:val="00F57918"/>
    <w:rsid w:val="00F629AA"/>
    <w:rsid w:val="00F74612"/>
    <w:rsid w:val="00F76F30"/>
    <w:rsid w:val="00F84CF7"/>
    <w:rsid w:val="00FC05D7"/>
    <w:rsid w:val="00FD0D53"/>
    <w:rsid w:val="00FD3BD2"/>
    <w:rsid w:val="00FD5423"/>
    <w:rsid w:val="00FF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6B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65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6658"/>
    <w:rPr>
      <w:color w:val="0000FF"/>
      <w:u w:val="single"/>
    </w:rPr>
  </w:style>
  <w:style w:type="paragraph" w:styleId="Footer">
    <w:name w:val="footer"/>
    <w:basedOn w:val="Normal"/>
    <w:link w:val="FooterChar"/>
    <w:uiPriority w:val="99"/>
    <w:unhideWhenUsed/>
    <w:rsid w:val="005D6658"/>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5D6658"/>
    <w:rPr>
      <w:rFonts w:ascii="Cambria" w:eastAsia="MS Mincho" w:hAnsi="Cambria" w:cs="Times New Roman"/>
    </w:rPr>
  </w:style>
  <w:style w:type="character" w:styleId="PageNumber">
    <w:name w:val="page number"/>
    <w:basedOn w:val="DefaultParagraphFont"/>
    <w:uiPriority w:val="99"/>
    <w:semiHidden/>
    <w:unhideWhenUsed/>
    <w:rsid w:val="005D6658"/>
  </w:style>
  <w:style w:type="paragraph" w:styleId="NormalWeb">
    <w:name w:val="Normal (Web)"/>
    <w:basedOn w:val="Normal"/>
    <w:uiPriority w:val="99"/>
    <w:semiHidden/>
    <w:unhideWhenUsed/>
    <w:rsid w:val="00E24654"/>
    <w:rPr>
      <w:rFonts w:eastAsia="MS Mincho"/>
    </w:rPr>
  </w:style>
  <w:style w:type="paragraph" w:styleId="ListParagraph">
    <w:name w:val="List Paragraph"/>
    <w:basedOn w:val="Normal"/>
    <w:uiPriority w:val="34"/>
    <w:qFormat/>
    <w:rsid w:val="00B74E76"/>
    <w:pPr>
      <w:ind w:left="720"/>
      <w:contextualSpacing/>
    </w:pPr>
  </w:style>
  <w:style w:type="character" w:customStyle="1" w:styleId="apple-converted-space">
    <w:name w:val="apple-converted-space"/>
    <w:basedOn w:val="DefaultParagraphFont"/>
    <w:rsid w:val="007C22E0"/>
  </w:style>
  <w:style w:type="paragraph" w:styleId="NoSpacing">
    <w:name w:val="No Spacing"/>
    <w:uiPriority w:val="1"/>
    <w:qFormat/>
    <w:rsid w:val="00754B3A"/>
    <w:rPr>
      <w:sz w:val="22"/>
      <w:szCs w:val="22"/>
    </w:rPr>
  </w:style>
  <w:style w:type="table" w:styleId="TableGrid">
    <w:name w:val="Table Grid"/>
    <w:basedOn w:val="TableNormal"/>
    <w:uiPriority w:val="59"/>
    <w:rsid w:val="00E13F6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4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5451">
      <w:bodyDiv w:val="1"/>
      <w:marLeft w:val="0"/>
      <w:marRight w:val="0"/>
      <w:marTop w:val="0"/>
      <w:marBottom w:val="0"/>
      <w:divBdr>
        <w:top w:val="none" w:sz="0" w:space="0" w:color="auto"/>
        <w:left w:val="none" w:sz="0" w:space="0" w:color="auto"/>
        <w:bottom w:val="none" w:sz="0" w:space="0" w:color="auto"/>
        <w:right w:val="none" w:sz="0" w:space="0" w:color="auto"/>
      </w:divBdr>
      <w:divsChild>
        <w:div w:id="483816276">
          <w:marLeft w:val="0"/>
          <w:marRight w:val="0"/>
          <w:marTop w:val="0"/>
          <w:marBottom w:val="0"/>
          <w:divBdr>
            <w:top w:val="none" w:sz="0" w:space="0" w:color="auto"/>
            <w:left w:val="none" w:sz="0" w:space="0" w:color="auto"/>
            <w:bottom w:val="none" w:sz="0" w:space="0" w:color="auto"/>
            <w:right w:val="none" w:sz="0" w:space="0" w:color="auto"/>
          </w:divBdr>
        </w:div>
      </w:divsChild>
    </w:div>
    <w:div w:id="328216314">
      <w:bodyDiv w:val="1"/>
      <w:marLeft w:val="0"/>
      <w:marRight w:val="0"/>
      <w:marTop w:val="0"/>
      <w:marBottom w:val="0"/>
      <w:divBdr>
        <w:top w:val="none" w:sz="0" w:space="0" w:color="auto"/>
        <w:left w:val="none" w:sz="0" w:space="0" w:color="auto"/>
        <w:bottom w:val="none" w:sz="0" w:space="0" w:color="auto"/>
        <w:right w:val="none" w:sz="0" w:space="0" w:color="auto"/>
      </w:divBdr>
    </w:div>
    <w:div w:id="346517978">
      <w:bodyDiv w:val="1"/>
      <w:marLeft w:val="0"/>
      <w:marRight w:val="0"/>
      <w:marTop w:val="0"/>
      <w:marBottom w:val="0"/>
      <w:divBdr>
        <w:top w:val="none" w:sz="0" w:space="0" w:color="auto"/>
        <w:left w:val="none" w:sz="0" w:space="0" w:color="auto"/>
        <w:bottom w:val="none" w:sz="0" w:space="0" w:color="auto"/>
        <w:right w:val="none" w:sz="0" w:space="0" w:color="auto"/>
      </w:divBdr>
    </w:div>
    <w:div w:id="618997792">
      <w:bodyDiv w:val="1"/>
      <w:marLeft w:val="0"/>
      <w:marRight w:val="0"/>
      <w:marTop w:val="0"/>
      <w:marBottom w:val="0"/>
      <w:divBdr>
        <w:top w:val="none" w:sz="0" w:space="0" w:color="auto"/>
        <w:left w:val="none" w:sz="0" w:space="0" w:color="auto"/>
        <w:bottom w:val="none" w:sz="0" w:space="0" w:color="auto"/>
        <w:right w:val="none" w:sz="0" w:space="0" w:color="auto"/>
      </w:divBdr>
      <w:divsChild>
        <w:div w:id="829835999">
          <w:marLeft w:val="360"/>
          <w:marRight w:val="0"/>
          <w:marTop w:val="200"/>
          <w:marBottom w:val="0"/>
          <w:divBdr>
            <w:top w:val="none" w:sz="0" w:space="0" w:color="auto"/>
            <w:left w:val="none" w:sz="0" w:space="0" w:color="auto"/>
            <w:bottom w:val="none" w:sz="0" w:space="0" w:color="auto"/>
            <w:right w:val="none" w:sz="0" w:space="0" w:color="auto"/>
          </w:divBdr>
        </w:div>
        <w:div w:id="62485259">
          <w:marLeft w:val="360"/>
          <w:marRight w:val="0"/>
          <w:marTop w:val="200"/>
          <w:marBottom w:val="0"/>
          <w:divBdr>
            <w:top w:val="none" w:sz="0" w:space="0" w:color="auto"/>
            <w:left w:val="none" w:sz="0" w:space="0" w:color="auto"/>
            <w:bottom w:val="none" w:sz="0" w:space="0" w:color="auto"/>
            <w:right w:val="none" w:sz="0" w:space="0" w:color="auto"/>
          </w:divBdr>
        </w:div>
        <w:div w:id="240607136">
          <w:marLeft w:val="360"/>
          <w:marRight w:val="0"/>
          <w:marTop w:val="200"/>
          <w:marBottom w:val="0"/>
          <w:divBdr>
            <w:top w:val="none" w:sz="0" w:space="0" w:color="auto"/>
            <w:left w:val="none" w:sz="0" w:space="0" w:color="auto"/>
            <w:bottom w:val="none" w:sz="0" w:space="0" w:color="auto"/>
            <w:right w:val="none" w:sz="0" w:space="0" w:color="auto"/>
          </w:divBdr>
        </w:div>
        <w:div w:id="480267452">
          <w:marLeft w:val="360"/>
          <w:marRight w:val="0"/>
          <w:marTop w:val="200"/>
          <w:marBottom w:val="0"/>
          <w:divBdr>
            <w:top w:val="none" w:sz="0" w:space="0" w:color="auto"/>
            <w:left w:val="none" w:sz="0" w:space="0" w:color="auto"/>
            <w:bottom w:val="none" w:sz="0" w:space="0" w:color="auto"/>
            <w:right w:val="none" w:sz="0" w:space="0" w:color="auto"/>
          </w:divBdr>
        </w:div>
        <w:div w:id="529992084">
          <w:marLeft w:val="360"/>
          <w:marRight w:val="0"/>
          <w:marTop w:val="200"/>
          <w:marBottom w:val="0"/>
          <w:divBdr>
            <w:top w:val="none" w:sz="0" w:space="0" w:color="auto"/>
            <w:left w:val="none" w:sz="0" w:space="0" w:color="auto"/>
            <w:bottom w:val="none" w:sz="0" w:space="0" w:color="auto"/>
            <w:right w:val="none" w:sz="0" w:space="0" w:color="auto"/>
          </w:divBdr>
        </w:div>
        <w:div w:id="594747989">
          <w:marLeft w:val="360"/>
          <w:marRight w:val="0"/>
          <w:marTop w:val="200"/>
          <w:marBottom w:val="0"/>
          <w:divBdr>
            <w:top w:val="none" w:sz="0" w:space="0" w:color="auto"/>
            <w:left w:val="none" w:sz="0" w:space="0" w:color="auto"/>
            <w:bottom w:val="none" w:sz="0" w:space="0" w:color="auto"/>
            <w:right w:val="none" w:sz="0" w:space="0" w:color="auto"/>
          </w:divBdr>
        </w:div>
      </w:divsChild>
    </w:div>
    <w:div w:id="686062647">
      <w:bodyDiv w:val="1"/>
      <w:marLeft w:val="0"/>
      <w:marRight w:val="0"/>
      <w:marTop w:val="0"/>
      <w:marBottom w:val="0"/>
      <w:divBdr>
        <w:top w:val="none" w:sz="0" w:space="0" w:color="auto"/>
        <w:left w:val="none" w:sz="0" w:space="0" w:color="auto"/>
        <w:bottom w:val="none" w:sz="0" w:space="0" w:color="auto"/>
        <w:right w:val="none" w:sz="0" w:space="0" w:color="auto"/>
      </w:divBdr>
    </w:div>
    <w:div w:id="124375505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
    <w:div w:id="1890527277">
      <w:bodyDiv w:val="1"/>
      <w:marLeft w:val="0"/>
      <w:marRight w:val="0"/>
      <w:marTop w:val="0"/>
      <w:marBottom w:val="0"/>
      <w:divBdr>
        <w:top w:val="none" w:sz="0" w:space="0" w:color="auto"/>
        <w:left w:val="none" w:sz="0" w:space="0" w:color="auto"/>
        <w:bottom w:val="none" w:sz="0" w:space="0" w:color="auto"/>
        <w:right w:val="none" w:sz="0" w:space="0" w:color="auto"/>
      </w:divBdr>
    </w:div>
    <w:div w:id="2048985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pacalifornia.com" TargetMode="External"/><Relationship Id="rId9" Type="http://schemas.openxmlformats.org/officeDocument/2006/relationships/hyperlink" Target="https://www.apacalifornia.org/legislation/legislative-review-teams/position-letters/" TargetMode="External"/><Relationship Id="rId10" Type="http://schemas.openxmlformats.org/officeDocument/2006/relationships/hyperlink" Target="http://www.apacalifor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3675</Words>
  <Characters>20950</Characters>
  <Application>Microsoft Macintosh Word</Application>
  <DocSecurity>0</DocSecurity>
  <Lines>174</Lines>
  <Paragraphs>49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APA CALIFORNIA LEGISLATIVE UPDATE</vt:lpstr>
      <vt:lpstr>By John Terell, AICP, Vice President Policy and Legislation</vt:lpstr>
      <vt:lpstr/>
      <vt:lpstr>End of Session Nearing with Major Bills Still in Play  </vt:lpstr>
      <vt:lpstr>All Hot Bills</vt:lpstr>
    </vt:vector>
  </TitlesOfParts>
  <LinksUpToDate>false</LinksUpToDate>
  <CharactersWithSpaces>24576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Sande Stefan</cp:lastModifiedBy>
  <cp:revision>30</cp:revision>
  <cp:lastPrinted>2017-09-05T21:39:00Z</cp:lastPrinted>
  <dcterms:created xsi:type="dcterms:W3CDTF">2017-09-05T19:23:00Z</dcterms:created>
  <dcterms:modified xsi:type="dcterms:W3CDTF">2017-09-05T23:02:00Z</dcterms:modified>
</cp:coreProperties>
</file>