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AFA" w:rsidRDefault="00C16AF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A2374F2" wp14:editId="0D4A2EE0">
            <wp:extent cx="1085850" cy="1085850"/>
            <wp:effectExtent l="0" t="0" r="0" b="0"/>
            <wp:docPr id="1" name="Picture 1" descr="C:\Documents and Settings\kchristiansen\My Documents\APA\Vice President Administration\CA_logo_7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christiansen\My Documents\APA\Vice President Administration\CA_logo_74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AFA" w:rsidRDefault="00C16AFA">
      <w:pPr>
        <w:rPr>
          <w:sz w:val="24"/>
          <w:szCs w:val="24"/>
        </w:rPr>
      </w:pPr>
    </w:p>
    <w:p w:rsidR="00F663BC" w:rsidRPr="00194675" w:rsidRDefault="00F663BC">
      <w:pPr>
        <w:rPr>
          <w:sz w:val="24"/>
          <w:szCs w:val="24"/>
        </w:rPr>
      </w:pPr>
      <w:r w:rsidRPr="00194675">
        <w:rPr>
          <w:sz w:val="24"/>
          <w:szCs w:val="24"/>
        </w:rPr>
        <w:t xml:space="preserve">Date: </w:t>
      </w:r>
      <w:r w:rsidRPr="00194675">
        <w:rPr>
          <w:sz w:val="24"/>
          <w:szCs w:val="24"/>
        </w:rPr>
        <w:tab/>
      </w:r>
      <w:r w:rsidRPr="00194675">
        <w:rPr>
          <w:sz w:val="24"/>
          <w:szCs w:val="24"/>
        </w:rPr>
        <w:tab/>
      </w:r>
      <w:r w:rsidR="00C16DD4">
        <w:rPr>
          <w:sz w:val="24"/>
          <w:szCs w:val="24"/>
        </w:rPr>
        <w:t>September 23</w:t>
      </w:r>
      <w:r w:rsidR="00E666F7">
        <w:rPr>
          <w:sz w:val="24"/>
          <w:szCs w:val="24"/>
        </w:rPr>
        <w:t>, 2017</w:t>
      </w:r>
    </w:p>
    <w:p w:rsidR="00F663BC" w:rsidRPr="00194675" w:rsidRDefault="00F663BC">
      <w:pPr>
        <w:rPr>
          <w:sz w:val="24"/>
          <w:szCs w:val="24"/>
        </w:rPr>
      </w:pPr>
      <w:r w:rsidRPr="00194675">
        <w:rPr>
          <w:sz w:val="24"/>
          <w:szCs w:val="24"/>
        </w:rPr>
        <w:t xml:space="preserve">To: </w:t>
      </w:r>
      <w:r w:rsidRPr="00194675">
        <w:rPr>
          <w:sz w:val="24"/>
          <w:szCs w:val="24"/>
        </w:rPr>
        <w:tab/>
      </w:r>
      <w:r w:rsidRPr="00194675">
        <w:rPr>
          <w:sz w:val="24"/>
          <w:szCs w:val="24"/>
        </w:rPr>
        <w:tab/>
        <w:t xml:space="preserve">Pete Parkinson, APA California </w:t>
      </w:r>
      <w:r w:rsidR="008117D9">
        <w:rPr>
          <w:sz w:val="24"/>
          <w:szCs w:val="24"/>
        </w:rPr>
        <w:t xml:space="preserve">Chapter </w:t>
      </w:r>
      <w:r w:rsidRPr="00194675">
        <w:rPr>
          <w:sz w:val="24"/>
          <w:szCs w:val="24"/>
        </w:rPr>
        <w:t>President</w:t>
      </w:r>
      <w:r w:rsidR="003F294B">
        <w:rPr>
          <w:sz w:val="24"/>
          <w:szCs w:val="24"/>
        </w:rPr>
        <w:t xml:space="preserve"> and </w:t>
      </w:r>
      <w:r w:rsidRPr="00194675">
        <w:rPr>
          <w:sz w:val="24"/>
          <w:szCs w:val="24"/>
        </w:rPr>
        <w:t>Board</w:t>
      </w:r>
      <w:r w:rsidR="003F294B">
        <w:rPr>
          <w:sz w:val="24"/>
          <w:szCs w:val="24"/>
        </w:rPr>
        <w:t xml:space="preserve"> of Directors</w:t>
      </w:r>
    </w:p>
    <w:p w:rsidR="00F663BC" w:rsidRPr="00194675" w:rsidRDefault="00F663BC">
      <w:pPr>
        <w:rPr>
          <w:sz w:val="24"/>
          <w:szCs w:val="24"/>
        </w:rPr>
      </w:pPr>
      <w:r w:rsidRPr="00194675">
        <w:rPr>
          <w:sz w:val="24"/>
          <w:szCs w:val="24"/>
        </w:rPr>
        <w:t xml:space="preserve">From: </w:t>
      </w:r>
      <w:r w:rsidRPr="00194675">
        <w:rPr>
          <w:sz w:val="24"/>
          <w:szCs w:val="24"/>
        </w:rPr>
        <w:tab/>
      </w:r>
      <w:r w:rsidRPr="00194675">
        <w:rPr>
          <w:sz w:val="24"/>
          <w:szCs w:val="24"/>
        </w:rPr>
        <w:tab/>
        <w:t>Hanson Hom, Vice President for Conferences</w:t>
      </w:r>
    </w:p>
    <w:p w:rsidR="00F16CD2" w:rsidRDefault="00F663BC" w:rsidP="00C16AFA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194675">
        <w:rPr>
          <w:sz w:val="24"/>
          <w:szCs w:val="24"/>
        </w:rPr>
        <w:t xml:space="preserve">Subject: </w:t>
      </w:r>
      <w:r w:rsidRPr="00194675">
        <w:rPr>
          <w:sz w:val="24"/>
          <w:szCs w:val="24"/>
        </w:rPr>
        <w:tab/>
      </w:r>
      <w:r w:rsidR="00A6384F">
        <w:rPr>
          <w:sz w:val="24"/>
          <w:szCs w:val="24"/>
        </w:rPr>
        <w:t xml:space="preserve">Amendment </w:t>
      </w:r>
      <w:r w:rsidR="00081717">
        <w:rPr>
          <w:sz w:val="24"/>
          <w:szCs w:val="24"/>
        </w:rPr>
        <w:t xml:space="preserve">to </w:t>
      </w:r>
      <w:r w:rsidR="00CB48DE">
        <w:rPr>
          <w:sz w:val="24"/>
          <w:szCs w:val="24"/>
        </w:rPr>
        <w:t xml:space="preserve">Conference Profit </w:t>
      </w:r>
      <w:r w:rsidR="00AB6A4B">
        <w:rPr>
          <w:sz w:val="24"/>
          <w:szCs w:val="24"/>
        </w:rPr>
        <w:t>Policy</w:t>
      </w:r>
    </w:p>
    <w:p w:rsidR="00C16AFA" w:rsidRPr="00C16AFA" w:rsidRDefault="00C16AFA" w:rsidP="00C16AFA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C16AFA" w:rsidRDefault="00C16AFA">
      <w:pPr>
        <w:rPr>
          <w:b/>
          <w:i/>
          <w:sz w:val="24"/>
          <w:szCs w:val="24"/>
        </w:rPr>
      </w:pPr>
    </w:p>
    <w:p w:rsidR="00BD16AE" w:rsidRDefault="00BD16AE">
      <w:pPr>
        <w:rPr>
          <w:b/>
          <w:sz w:val="24"/>
          <w:szCs w:val="24"/>
        </w:rPr>
      </w:pPr>
      <w:r>
        <w:rPr>
          <w:b/>
          <w:sz w:val="24"/>
          <w:szCs w:val="24"/>
        </w:rPr>
        <w:t>RECOMMENDA</w:t>
      </w:r>
      <w:r w:rsidRPr="00BD16AE">
        <w:rPr>
          <w:b/>
          <w:sz w:val="24"/>
          <w:szCs w:val="24"/>
        </w:rPr>
        <w:t>TION</w:t>
      </w:r>
    </w:p>
    <w:p w:rsidR="00E9150A" w:rsidRPr="00C16DD4" w:rsidRDefault="00081717" w:rsidP="00C16DD4">
      <w:pPr>
        <w:rPr>
          <w:i/>
          <w:sz w:val="24"/>
          <w:szCs w:val="24"/>
        </w:rPr>
      </w:pPr>
      <w:r>
        <w:rPr>
          <w:i/>
          <w:sz w:val="24"/>
          <w:szCs w:val="24"/>
        </w:rPr>
        <w:t>Amend the Conference Profit Policy in the Conference Requirements Handbook as follows</w:t>
      </w:r>
      <w:r w:rsidR="00A6384F">
        <w:rPr>
          <w:i/>
          <w:sz w:val="24"/>
          <w:szCs w:val="24"/>
        </w:rPr>
        <w:t xml:space="preserve"> (deletion </w:t>
      </w:r>
      <w:r w:rsidR="00685F88">
        <w:rPr>
          <w:i/>
          <w:sz w:val="24"/>
          <w:szCs w:val="24"/>
        </w:rPr>
        <w:t xml:space="preserve">- </w:t>
      </w:r>
      <w:r w:rsidR="00A6384F">
        <w:rPr>
          <w:i/>
          <w:sz w:val="24"/>
          <w:szCs w:val="24"/>
        </w:rPr>
        <w:t xml:space="preserve">strikethrough, addition </w:t>
      </w:r>
      <w:r w:rsidR="00685F88">
        <w:rPr>
          <w:i/>
          <w:sz w:val="24"/>
          <w:szCs w:val="24"/>
        </w:rPr>
        <w:t xml:space="preserve">- </w:t>
      </w:r>
      <w:r w:rsidR="00A6384F">
        <w:rPr>
          <w:i/>
          <w:sz w:val="24"/>
          <w:szCs w:val="24"/>
        </w:rPr>
        <w:t>underlined):</w:t>
      </w:r>
    </w:p>
    <w:p w:rsidR="00685F88" w:rsidRPr="0095085C" w:rsidRDefault="00685F88" w:rsidP="00685F88">
      <w:pPr>
        <w:spacing w:after="0"/>
        <w:ind w:left="360" w:right="360"/>
        <w:rPr>
          <w:rFonts w:cstheme="minorHAnsi"/>
          <w:b/>
          <w:sz w:val="24"/>
          <w:szCs w:val="24"/>
        </w:rPr>
      </w:pPr>
      <w:r w:rsidRPr="0095085C">
        <w:rPr>
          <w:rFonts w:cstheme="minorHAnsi"/>
          <w:b/>
          <w:sz w:val="24"/>
          <w:szCs w:val="24"/>
        </w:rPr>
        <w:t>Conference Profit</w:t>
      </w:r>
    </w:p>
    <w:p w:rsidR="00081717" w:rsidRPr="0095085C" w:rsidRDefault="00081717" w:rsidP="00081717">
      <w:pPr>
        <w:ind w:left="360" w:right="360"/>
        <w:rPr>
          <w:rFonts w:cstheme="minorHAnsi"/>
          <w:sz w:val="24"/>
          <w:szCs w:val="24"/>
        </w:rPr>
      </w:pPr>
      <w:r w:rsidRPr="0095085C">
        <w:rPr>
          <w:rFonts w:cstheme="minorHAnsi"/>
          <w:sz w:val="24"/>
          <w:szCs w:val="24"/>
        </w:rPr>
        <w:t>The annual conference is the major revenue source for APA Cali</w:t>
      </w:r>
      <w:r w:rsidR="00685F88" w:rsidRPr="0095085C">
        <w:rPr>
          <w:rFonts w:cstheme="minorHAnsi"/>
          <w:sz w:val="24"/>
          <w:szCs w:val="24"/>
        </w:rPr>
        <w:t xml:space="preserve">fornia and the eight Sections. </w:t>
      </w:r>
      <w:r w:rsidRPr="0095085C">
        <w:rPr>
          <w:rFonts w:cstheme="minorHAnsi"/>
          <w:sz w:val="24"/>
          <w:szCs w:val="24"/>
        </w:rPr>
        <w:t xml:space="preserve">A profit of at least $120,000 should be achieved </w:t>
      </w:r>
      <w:r w:rsidR="00685F88" w:rsidRPr="0095085C">
        <w:rPr>
          <w:rFonts w:cstheme="minorHAnsi"/>
          <w:sz w:val="24"/>
          <w:szCs w:val="24"/>
        </w:rPr>
        <w:t>(</w:t>
      </w:r>
      <w:r w:rsidRPr="0095085C">
        <w:rPr>
          <w:rFonts w:cstheme="minorHAnsi"/>
          <w:sz w:val="24"/>
          <w:szCs w:val="24"/>
          <w:u w:val="single"/>
        </w:rPr>
        <w:t xml:space="preserve">based on </w:t>
      </w:r>
      <w:r w:rsidR="00685F88" w:rsidRPr="0095085C">
        <w:rPr>
          <w:rFonts w:cstheme="minorHAnsi"/>
          <w:sz w:val="24"/>
          <w:szCs w:val="24"/>
          <w:u w:val="single"/>
        </w:rPr>
        <w:t>900 registrants.)</w:t>
      </w:r>
      <w:r w:rsidRPr="0095085C">
        <w:rPr>
          <w:rFonts w:cstheme="minorHAnsi"/>
          <w:strike/>
          <w:sz w:val="24"/>
          <w:szCs w:val="24"/>
        </w:rPr>
        <w:t>(increased from $100,000 in 2015</w:t>
      </w:r>
      <w:r w:rsidRPr="0095085C">
        <w:rPr>
          <w:rFonts w:cstheme="minorHAnsi"/>
          <w:dstrike/>
          <w:sz w:val="24"/>
          <w:szCs w:val="24"/>
        </w:rPr>
        <w:t>).</w:t>
      </w:r>
      <w:r w:rsidRPr="0095085C">
        <w:rPr>
          <w:rFonts w:cstheme="minorHAnsi"/>
          <w:sz w:val="24"/>
          <w:szCs w:val="24"/>
        </w:rPr>
        <w:t xml:space="preserve"> </w:t>
      </w:r>
      <w:r w:rsidRPr="0095085C">
        <w:rPr>
          <w:rFonts w:cstheme="minorHAnsi"/>
          <w:sz w:val="24"/>
          <w:szCs w:val="24"/>
          <w:u w:val="single"/>
        </w:rPr>
        <w:t xml:space="preserve">For conferences with higher attendance, </w:t>
      </w:r>
      <w:r w:rsidR="00A6384F" w:rsidRPr="0095085C">
        <w:rPr>
          <w:rFonts w:cstheme="minorHAnsi"/>
          <w:sz w:val="24"/>
          <w:szCs w:val="24"/>
          <w:u w:val="single"/>
        </w:rPr>
        <w:t xml:space="preserve">strive for a </w:t>
      </w:r>
      <w:r w:rsidRPr="0095085C">
        <w:rPr>
          <w:rFonts w:cstheme="minorHAnsi"/>
          <w:sz w:val="24"/>
          <w:szCs w:val="24"/>
          <w:u w:val="single"/>
        </w:rPr>
        <w:t xml:space="preserve">profit </w:t>
      </w:r>
      <w:r w:rsidR="00685F88" w:rsidRPr="0095085C">
        <w:rPr>
          <w:rFonts w:cstheme="minorHAnsi"/>
          <w:sz w:val="24"/>
          <w:szCs w:val="24"/>
          <w:u w:val="single"/>
        </w:rPr>
        <w:t xml:space="preserve">margin </w:t>
      </w:r>
      <w:r w:rsidR="00A6384F" w:rsidRPr="0095085C">
        <w:rPr>
          <w:rFonts w:cstheme="minorHAnsi"/>
          <w:sz w:val="24"/>
          <w:szCs w:val="24"/>
          <w:u w:val="single"/>
        </w:rPr>
        <w:t xml:space="preserve">of </w:t>
      </w:r>
      <w:r w:rsidRPr="0095085C">
        <w:rPr>
          <w:rFonts w:cstheme="minorHAnsi"/>
          <w:sz w:val="24"/>
          <w:szCs w:val="24"/>
          <w:u w:val="single"/>
        </w:rPr>
        <w:t>20-25 percent of gross income</w:t>
      </w:r>
      <w:r w:rsidR="00A6384F" w:rsidRPr="0095085C">
        <w:rPr>
          <w:rFonts w:cstheme="minorHAnsi"/>
          <w:sz w:val="24"/>
          <w:szCs w:val="24"/>
          <w:u w:val="single"/>
        </w:rPr>
        <w:t>.</w:t>
      </w:r>
      <w:r w:rsidRPr="0095085C">
        <w:rPr>
          <w:rFonts w:cstheme="minorHAnsi"/>
          <w:sz w:val="24"/>
          <w:szCs w:val="24"/>
        </w:rPr>
        <w:t xml:space="preserve"> The Board will review the conference profit </w:t>
      </w:r>
      <w:r w:rsidR="00685F88" w:rsidRPr="0095085C">
        <w:rPr>
          <w:rFonts w:cstheme="minorHAnsi"/>
          <w:sz w:val="24"/>
          <w:szCs w:val="24"/>
          <w:u w:val="single"/>
        </w:rPr>
        <w:t>goal</w:t>
      </w:r>
      <w:r w:rsidRPr="0095085C">
        <w:rPr>
          <w:rFonts w:cstheme="minorHAnsi"/>
          <w:sz w:val="24"/>
          <w:szCs w:val="24"/>
        </w:rPr>
        <w:t xml:space="preserve"> </w:t>
      </w:r>
      <w:bookmarkStart w:id="0" w:name="_GoBack"/>
      <w:r w:rsidR="00B96338" w:rsidRPr="0095085C">
        <w:rPr>
          <w:rFonts w:cstheme="minorHAnsi"/>
          <w:strike/>
          <w:sz w:val="24"/>
          <w:szCs w:val="24"/>
        </w:rPr>
        <w:t>amount</w:t>
      </w:r>
      <w:r w:rsidRPr="0095085C">
        <w:rPr>
          <w:rFonts w:cstheme="minorHAnsi"/>
          <w:sz w:val="24"/>
          <w:szCs w:val="24"/>
        </w:rPr>
        <w:t>each</w:t>
      </w:r>
      <w:bookmarkEnd w:id="0"/>
      <w:r w:rsidRPr="0095085C">
        <w:rPr>
          <w:rFonts w:cstheme="minorHAnsi"/>
          <w:sz w:val="24"/>
          <w:szCs w:val="24"/>
        </w:rPr>
        <w:t xml:space="preserve"> year </w:t>
      </w:r>
      <w:r w:rsidR="0075637E" w:rsidRPr="0095085C">
        <w:rPr>
          <w:rFonts w:cstheme="minorHAnsi"/>
          <w:sz w:val="24"/>
          <w:szCs w:val="24"/>
          <w:u w:val="single"/>
        </w:rPr>
        <w:t xml:space="preserve">when a venue is selected </w:t>
      </w:r>
      <w:r w:rsidRPr="0095085C">
        <w:rPr>
          <w:rFonts w:cstheme="minorHAnsi"/>
          <w:strike/>
          <w:sz w:val="24"/>
          <w:szCs w:val="24"/>
        </w:rPr>
        <w:t xml:space="preserve">at the time of the selection of the venue </w:t>
      </w:r>
      <w:r w:rsidRPr="0095085C">
        <w:rPr>
          <w:rFonts w:cstheme="minorHAnsi"/>
          <w:sz w:val="24"/>
          <w:szCs w:val="24"/>
        </w:rPr>
        <w:t>to ensure that the amount keeps up</w:t>
      </w:r>
      <w:r w:rsidR="0075637E" w:rsidRPr="0095085C">
        <w:rPr>
          <w:rFonts w:cstheme="minorHAnsi"/>
          <w:sz w:val="24"/>
          <w:szCs w:val="24"/>
        </w:rPr>
        <w:t xml:space="preserve"> with inflation and </w:t>
      </w:r>
      <w:r w:rsidR="0075637E" w:rsidRPr="0095085C">
        <w:rPr>
          <w:rFonts w:cstheme="minorHAnsi"/>
          <w:sz w:val="24"/>
          <w:szCs w:val="24"/>
          <w:u w:val="single"/>
        </w:rPr>
        <w:t xml:space="preserve">the </w:t>
      </w:r>
      <w:r w:rsidR="0075637E" w:rsidRPr="0095085C">
        <w:rPr>
          <w:rFonts w:cstheme="minorHAnsi"/>
          <w:strike/>
          <w:sz w:val="24"/>
          <w:szCs w:val="24"/>
        </w:rPr>
        <w:t xml:space="preserve">Chapter </w:t>
      </w:r>
      <w:r w:rsidRPr="0095085C">
        <w:rPr>
          <w:rFonts w:cstheme="minorHAnsi"/>
          <w:sz w:val="24"/>
          <w:szCs w:val="24"/>
        </w:rPr>
        <w:t>financial needs</w:t>
      </w:r>
      <w:r w:rsidR="0075637E" w:rsidRPr="0095085C">
        <w:rPr>
          <w:rFonts w:cstheme="minorHAnsi"/>
          <w:sz w:val="24"/>
          <w:szCs w:val="24"/>
        </w:rPr>
        <w:t xml:space="preserve"> </w:t>
      </w:r>
      <w:r w:rsidR="0075637E" w:rsidRPr="0095085C">
        <w:rPr>
          <w:rFonts w:cstheme="minorHAnsi"/>
          <w:sz w:val="24"/>
          <w:szCs w:val="24"/>
          <w:u w:val="single"/>
        </w:rPr>
        <w:t xml:space="preserve">of the Chapter and </w:t>
      </w:r>
      <w:r w:rsidR="0095085C">
        <w:rPr>
          <w:rFonts w:cstheme="minorHAnsi"/>
          <w:sz w:val="24"/>
          <w:szCs w:val="24"/>
          <w:u w:val="single"/>
        </w:rPr>
        <w:t>S</w:t>
      </w:r>
      <w:r w:rsidR="0075637E" w:rsidRPr="0095085C">
        <w:rPr>
          <w:rFonts w:cstheme="minorHAnsi"/>
          <w:sz w:val="24"/>
          <w:szCs w:val="24"/>
          <w:u w:val="single"/>
        </w:rPr>
        <w:t>ections</w:t>
      </w:r>
      <w:r w:rsidRPr="0095085C">
        <w:rPr>
          <w:rFonts w:cstheme="minorHAnsi"/>
          <w:sz w:val="24"/>
          <w:szCs w:val="24"/>
        </w:rPr>
        <w:t>.</w:t>
      </w:r>
    </w:p>
    <w:p w:rsidR="00CB48DE" w:rsidRPr="00B96338" w:rsidRDefault="00060E9F" w:rsidP="00B96338">
      <w:pPr>
        <w:spacing w:line="276" w:lineRule="auto"/>
        <w:rPr>
          <w:b/>
          <w:sz w:val="24"/>
          <w:szCs w:val="24"/>
        </w:rPr>
      </w:pPr>
      <w:r w:rsidRPr="00060E9F">
        <w:rPr>
          <w:b/>
          <w:sz w:val="24"/>
          <w:szCs w:val="24"/>
        </w:rPr>
        <w:t>DISCUSSION</w:t>
      </w:r>
    </w:p>
    <w:p w:rsidR="004D7125" w:rsidRDefault="00B96338" w:rsidP="00A4006B">
      <w:pPr>
        <w:rPr>
          <w:sz w:val="24"/>
          <w:szCs w:val="24"/>
        </w:rPr>
      </w:pPr>
      <w:r>
        <w:rPr>
          <w:sz w:val="24"/>
          <w:szCs w:val="24"/>
        </w:rPr>
        <w:t>While not explicit</w:t>
      </w:r>
      <w:r w:rsidR="006E0BA2">
        <w:rPr>
          <w:sz w:val="24"/>
          <w:szCs w:val="24"/>
        </w:rPr>
        <w:t xml:space="preserve">, the minimum </w:t>
      </w:r>
      <w:r>
        <w:rPr>
          <w:sz w:val="24"/>
          <w:szCs w:val="24"/>
        </w:rPr>
        <w:t xml:space="preserve">conference </w:t>
      </w:r>
      <w:r w:rsidR="00CB48DE">
        <w:rPr>
          <w:sz w:val="24"/>
          <w:szCs w:val="24"/>
        </w:rPr>
        <w:t xml:space="preserve">profit of $120,000 </w:t>
      </w:r>
      <w:r w:rsidR="006E0BA2">
        <w:rPr>
          <w:sz w:val="24"/>
          <w:szCs w:val="24"/>
        </w:rPr>
        <w:t>refers to</w:t>
      </w:r>
      <w:r w:rsidR="00CB48DE">
        <w:rPr>
          <w:sz w:val="24"/>
          <w:szCs w:val="24"/>
        </w:rPr>
        <w:t xml:space="preserve"> an attendance level of 900. </w:t>
      </w:r>
      <w:r w:rsidR="00C14925">
        <w:rPr>
          <w:sz w:val="24"/>
          <w:szCs w:val="24"/>
        </w:rPr>
        <w:t xml:space="preserve">As shown in </w:t>
      </w:r>
      <w:r w:rsidR="00765213">
        <w:rPr>
          <w:sz w:val="24"/>
          <w:szCs w:val="24"/>
        </w:rPr>
        <w:t>Attachment</w:t>
      </w:r>
      <w:r w:rsidR="00C14925">
        <w:rPr>
          <w:sz w:val="24"/>
          <w:szCs w:val="24"/>
        </w:rPr>
        <w:t xml:space="preserve"> 1, conference registration has fluctuated widely in the last five years, from 717 in Visalia in </w:t>
      </w:r>
      <w:r w:rsidR="006E6A56">
        <w:rPr>
          <w:sz w:val="24"/>
          <w:szCs w:val="24"/>
        </w:rPr>
        <w:t xml:space="preserve">2013 to 1,758 in Pasadena in 2016. </w:t>
      </w:r>
      <w:r w:rsidR="002212EF">
        <w:rPr>
          <w:sz w:val="24"/>
          <w:szCs w:val="24"/>
        </w:rPr>
        <w:t xml:space="preserve">Chart 1 also shows that </w:t>
      </w:r>
      <w:r w:rsidR="004D7125">
        <w:rPr>
          <w:sz w:val="24"/>
          <w:szCs w:val="24"/>
        </w:rPr>
        <w:t xml:space="preserve">income from registrations is the primary variable affecting </w:t>
      </w:r>
      <w:r w:rsidR="002212EF">
        <w:rPr>
          <w:sz w:val="24"/>
          <w:szCs w:val="24"/>
        </w:rPr>
        <w:t>p</w:t>
      </w:r>
      <w:r w:rsidR="00CB48DE">
        <w:rPr>
          <w:sz w:val="24"/>
          <w:szCs w:val="24"/>
        </w:rPr>
        <w:t xml:space="preserve">otential </w:t>
      </w:r>
      <w:r w:rsidR="00C14925">
        <w:rPr>
          <w:sz w:val="24"/>
          <w:szCs w:val="24"/>
        </w:rPr>
        <w:t xml:space="preserve">conference </w:t>
      </w:r>
      <w:r w:rsidR="004D7125">
        <w:rPr>
          <w:sz w:val="24"/>
          <w:szCs w:val="24"/>
        </w:rPr>
        <w:t xml:space="preserve">profit. </w:t>
      </w:r>
    </w:p>
    <w:p w:rsidR="00A4006B" w:rsidRDefault="002212EF" w:rsidP="00A4006B">
      <w:pPr>
        <w:rPr>
          <w:sz w:val="24"/>
          <w:szCs w:val="24"/>
        </w:rPr>
      </w:pPr>
      <w:r>
        <w:rPr>
          <w:sz w:val="24"/>
          <w:szCs w:val="24"/>
        </w:rPr>
        <w:t>Be</w:t>
      </w:r>
      <w:r w:rsidR="00A4006B" w:rsidRPr="008E5489">
        <w:rPr>
          <w:sz w:val="24"/>
          <w:szCs w:val="24"/>
        </w:rPr>
        <w:t>cause registration has fluctuated over the years</w:t>
      </w:r>
      <w:r w:rsidR="00B96338">
        <w:rPr>
          <w:sz w:val="24"/>
          <w:szCs w:val="24"/>
        </w:rPr>
        <w:t xml:space="preserve"> and is difficult to predict</w:t>
      </w:r>
      <w:r w:rsidR="00A4006B" w:rsidRPr="008E5489">
        <w:rPr>
          <w:sz w:val="24"/>
          <w:szCs w:val="24"/>
        </w:rPr>
        <w:t xml:space="preserve">, a conference budget is prepared based on several assumed attendance levels. </w:t>
      </w:r>
      <w:r w:rsidR="003D1F47">
        <w:rPr>
          <w:sz w:val="24"/>
          <w:szCs w:val="24"/>
        </w:rPr>
        <w:t xml:space="preserve">This budget practice </w:t>
      </w:r>
      <w:r w:rsidR="00B96338">
        <w:rPr>
          <w:sz w:val="24"/>
          <w:szCs w:val="24"/>
        </w:rPr>
        <w:t>shows</w:t>
      </w:r>
      <w:r w:rsidR="003D1F47">
        <w:rPr>
          <w:sz w:val="24"/>
          <w:szCs w:val="24"/>
        </w:rPr>
        <w:t xml:space="preserve"> that p</w:t>
      </w:r>
      <w:r w:rsidR="00A4006B" w:rsidRPr="008E5489">
        <w:rPr>
          <w:sz w:val="24"/>
          <w:szCs w:val="24"/>
        </w:rPr>
        <w:t xml:space="preserve">otential </w:t>
      </w:r>
      <w:r w:rsidR="006E0BA2">
        <w:rPr>
          <w:sz w:val="24"/>
          <w:szCs w:val="24"/>
        </w:rPr>
        <w:t>profit</w:t>
      </w:r>
      <w:r w:rsidR="00A4006B" w:rsidRPr="008E5489">
        <w:rPr>
          <w:sz w:val="24"/>
          <w:szCs w:val="24"/>
        </w:rPr>
        <w:t xml:space="preserve"> esc</w:t>
      </w:r>
      <w:r w:rsidR="003D1F47">
        <w:rPr>
          <w:sz w:val="24"/>
          <w:szCs w:val="24"/>
        </w:rPr>
        <w:t xml:space="preserve">alates as attendance increases. The </w:t>
      </w:r>
      <w:r w:rsidR="00A4006B">
        <w:rPr>
          <w:sz w:val="24"/>
          <w:szCs w:val="24"/>
        </w:rPr>
        <w:t xml:space="preserve">current </w:t>
      </w:r>
      <w:r w:rsidR="003D1F47">
        <w:rPr>
          <w:sz w:val="24"/>
          <w:szCs w:val="24"/>
        </w:rPr>
        <w:t xml:space="preserve">profit goal </w:t>
      </w:r>
      <w:r>
        <w:rPr>
          <w:sz w:val="24"/>
          <w:szCs w:val="24"/>
        </w:rPr>
        <w:t xml:space="preserve">does not provide sufficient guidance for </w:t>
      </w:r>
      <w:r w:rsidR="003D1F47">
        <w:rPr>
          <w:sz w:val="24"/>
          <w:szCs w:val="24"/>
        </w:rPr>
        <w:t xml:space="preserve">conferences with </w:t>
      </w:r>
      <w:r w:rsidR="006E0BA2">
        <w:rPr>
          <w:sz w:val="24"/>
          <w:szCs w:val="24"/>
        </w:rPr>
        <w:t xml:space="preserve">significantly </w:t>
      </w:r>
      <w:r>
        <w:rPr>
          <w:sz w:val="24"/>
          <w:szCs w:val="24"/>
        </w:rPr>
        <w:t>higher attendance</w:t>
      </w:r>
      <w:r w:rsidR="003D1F47">
        <w:rPr>
          <w:sz w:val="24"/>
          <w:szCs w:val="24"/>
        </w:rPr>
        <w:t>. As attendance inc</w:t>
      </w:r>
      <w:r w:rsidR="0008710F">
        <w:rPr>
          <w:sz w:val="24"/>
          <w:szCs w:val="24"/>
        </w:rPr>
        <w:t xml:space="preserve">reases, it is reasonable to expect that conference profit should </w:t>
      </w:r>
      <w:r w:rsidR="006E0BA2">
        <w:rPr>
          <w:sz w:val="24"/>
          <w:szCs w:val="24"/>
        </w:rPr>
        <w:t xml:space="preserve">proportionally </w:t>
      </w:r>
      <w:r w:rsidR="00B96338">
        <w:rPr>
          <w:sz w:val="24"/>
          <w:szCs w:val="24"/>
        </w:rPr>
        <w:t xml:space="preserve">increase </w:t>
      </w:r>
      <w:r w:rsidR="006E0BA2">
        <w:rPr>
          <w:sz w:val="24"/>
          <w:szCs w:val="24"/>
        </w:rPr>
        <w:t>also</w:t>
      </w:r>
      <w:r w:rsidR="00B96338">
        <w:rPr>
          <w:sz w:val="24"/>
          <w:szCs w:val="24"/>
        </w:rPr>
        <w:t xml:space="preserve">. </w:t>
      </w:r>
      <w:r w:rsidR="00B96338">
        <w:rPr>
          <w:sz w:val="24"/>
          <w:szCs w:val="24"/>
        </w:rPr>
        <w:lastRenderedPageBreak/>
        <w:t>An amendment</w:t>
      </w:r>
      <w:r w:rsidR="003D1F47">
        <w:rPr>
          <w:sz w:val="24"/>
          <w:szCs w:val="24"/>
        </w:rPr>
        <w:t xml:space="preserve"> to the conference </w:t>
      </w:r>
      <w:r w:rsidR="00631CA7">
        <w:rPr>
          <w:sz w:val="24"/>
          <w:szCs w:val="24"/>
        </w:rPr>
        <w:t xml:space="preserve">profit </w:t>
      </w:r>
      <w:r w:rsidR="003D1F47">
        <w:rPr>
          <w:sz w:val="24"/>
          <w:szCs w:val="24"/>
        </w:rPr>
        <w:t>policy is recommended to p</w:t>
      </w:r>
      <w:r w:rsidR="006E0BA2">
        <w:rPr>
          <w:sz w:val="24"/>
          <w:szCs w:val="24"/>
        </w:rPr>
        <w:t>rovide</w:t>
      </w:r>
      <w:r w:rsidR="00B96338">
        <w:rPr>
          <w:sz w:val="24"/>
          <w:szCs w:val="24"/>
        </w:rPr>
        <w:t xml:space="preserve"> </w:t>
      </w:r>
      <w:r w:rsidR="0008710F">
        <w:rPr>
          <w:sz w:val="24"/>
          <w:szCs w:val="24"/>
        </w:rPr>
        <w:t>guidance</w:t>
      </w:r>
      <w:r w:rsidR="00631CA7">
        <w:rPr>
          <w:sz w:val="24"/>
          <w:szCs w:val="24"/>
        </w:rPr>
        <w:t xml:space="preserve"> for </w:t>
      </w:r>
      <w:r w:rsidR="006E0BA2">
        <w:rPr>
          <w:sz w:val="24"/>
          <w:szCs w:val="24"/>
        </w:rPr>
        <w:t xml:space="preserve">conferences with </w:t>
      </w:r>
      <w:r w:rsidR="00B96338">
        <w:rPr>
          <w:sz w:val="24"/>
          <w:szCs w:val="24"/>
        </w:rPr>
        <w:t xml:space="preserve">higher </w:t>
      </w:r>
      <w:r w:rsidR="00631CA7">
        <w:rPr>
          <w:sz w:val="24"/>
          <w:szCs w:val="24"/>
        </w:rPr>
        <w:t>attendance.</w:t>
      </w:r>
    </w:p>
    <w:p w:rsidR="004D7125" w:rsidRPr="008E5489" w:rsidRDefault="004D7125" w:rsidP="00A4006B">
      <w:pPr>
        <w:rPr>
          <w:sz w:val="24"/>
          <w:szCs w:val="24"/>
        </w:rPr>
      </w:pPr>
      <w:r>
        <w:rPr>
          <w:sz w:val="24"/>
          <w:szCs w:val="24"/>
        </w:rPr>
        <w:t xml:space="preserve">Conference profit is also largely affected by conference expenses. </w:t>
      </w:r>
      <w:r w:rsidR="00765213">
        <w:rPr>
          <w:sz w:val="24"/>
          <w:szCs w:val="24"/>
        </w:rPr>
        <w:t>Attachments</w:t>
      </w:r>
      <w:r w:rsidR="00631CA7">
        <w:rPr>
          <w:sz w:val="24"/>
          <w:szCs w:val="24"/>
        </w:rPr>
        <w:t xml:space="preserve"> 2-6 shows </w:t>
      </w:r>
      <w:r w:rsidR="000B2F5F">
        <w:rPr>
          <w:sz w:val="24"/>
          <w:szCs w:val="24"/>
        </w:rPr>
        <w:t>that expenses have fluctuated</w:t>
      </w:r>
      <w:r w:rsidR="00A80FAD">
        <w:rPr>
          <w:sz w:val="24"/>
          <w:szCs w:val="24"/>
        </w:rPr>
        <w:t xml:space="preserve"> significantly in recent years</w:t>
      </w:r>
      <w:r w:rsidR="00631CA7">
        <w:rPr>
          <w:sz w:val="24"/>
          <w:szCs w:val="24"/>
        </w:rPr>
        <w:t>, especially food and opening reception costs. A supplement to the conference profit policy would pro</w:t>
      </w:r>
      <w:r w:rsidR="00C45D9B">
        <w:rPr>
          <w:sz w:val="24"/>
          <w:szCs w:val="24"/>
        </w:rPr>
        <w:t>vide further guidance</w:t>
      </w:r>
      <w:r w:rsidR="00B96338">
        <w:rPr>
          <w:sz w:val="24"/>
          <w:szCs w:val="24"/>
        </w:rPr>
        <w:t xml:space="preserve"> to </w:t>
      </w:r>
      <w:r w:rsidR="00765213">
        <w:rPr>
          <w:sz w:val="24"/>
          <w:szCs w:val="24"/>
        </w:rPr>
        <w:t>conference host committees</w:t>
      </w:r>
      <w:r w:rsidR="00C45D9B">
        <w:rPr>
          <w:sz w:val="24"/>
          <w:szCs w:val="24"/>
        </w:rPr>
        <w:t xml:space="preserve"> for </w:t>
      </w:r>
      <w:r w:rsidR="0075637E">
        <w:rPr>
          <w:sz w:val="24"/>
          <w:szCs w:val="24"/>
        </w:rPr>
        <w:t xml:space="preserve">budgeting </w:t>
      </w:r>
      <w:r w:rsidR="006E0BA2">
        <w:rPr>
          <w:sz w:val="24"/>
          <w:szCs w:val="24"/>
        </w:rPr>
        <w:t xml:space="preserve">and accruing </w:t>
      </w:r>
      <w:r w:rsidR="0081577B">
        <w:rPr>
          <w:sz w:val="24"/>
          <w:szCs w:val="24"/>
        </w:rPr>
        <w:t xml:space="preserve">expenses. It would also promote greater </w:t>
      </w:r>
      <w:r w:rsidR="00631CA7">
        <w:rPr>
          <w:sz w:val="24"/>
          <w:szCs w:val="24"/>
        </w:rPr>
        <w:t xml:space="preserve">consistency </w:t>
      </w:r>
      <w:r w:rsidR="0075637E">
        <w:rPr>
          <w:sz w:val="24"/>
          <w:szCs w:val="24"/>
        </w:rPr>
        <w:t>in terms of</w:t>
      </w:r>
      <w:r w:rsidR="0081577B">
        <w:rPr>
          <w:sz w:val="24"/>
          <w:szCs w:val="24"/>
        </w:rPr>
        <w:t xml:space="preserve"> conference deliverables </w:t>
      </w:r>
      <w:r w:rsidR="00765213">
        <w:rPr>
          <w:sz w:val="24"/>
          <w:szCs w:val="24"/>
        </w:rPr>
        <w:t xml:space="preserve">and the expectations of </w:t>
      </w:r>
      <w:r w:rsidR="0081577B">
        <w:rPr>
          <w:sz w:val="24"/>
          <w:szCs w:val="24"/>
        </w:rPr>
        <w:t>attendees.</w:t>
      </w:r>
      <w:r w:rsidR="00A80FAD">
        <w:rPr>
          <w:sz w:val="24"/>
          <w:szCs w:val="24"/>
        </w:rPr>
        <w:t xml:space="preserve"> Regular review is highly advised as conferences expenses continue to rise with regional variations.</w:t>
      </w:r>
      <w:r w:rsidR="0081577B">
        <w:rPr>
          <w:sz w:val="24"/>
          <w:szCs w:val="24"/>
        </w:rPr>
        <w:t xml:space="preserve"> </w:t>
      </w:r>
    </w:p>
    <w:p w:rsidR="0095085C" w:rsidRDefault="0008710F" w:rsidP="001548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Conference profit </w:t>
      </w:r>
      <w:r w:rsidR="00A4006B" w:rsidRPr="001A3DAA">
        <w:rPr>
          <w:sz w:val="24"/>
          <w:szCs w:val="24"/>
        </w:rPr>
        <w:t xml:space="preserve">can be expressed </w:t>
      </w:r>
      <w:r>
        <w:rPr>
          <w:sz w:val="24"/>
          <w:szCs w:val="24"/>
        </w:rPr>
        <w:t>as</w:t>
      </w:r>
      <w:r w:rsidR="00765213">
        <w:rPr>
          <w:sz w:val="24"/>
          <w:szCs w:val="24"/>
        </w:rPr>
        <w:t xml:space="preserve"> </w:t>
      </w:r>
      <w:r w:rsidR="007F75AE">
        <w:rPr>
          <w:sz w:val="24"/>
          <w:szCs w:val="24"/>
        </w:rPr>
        <w:t>a profit margin</w:t>
      </w:r>
      <w:r>
        <w:rPr>
          <w:sz w:val="24"/>
          <w:szCs w:val="24"/>
        </w:rPr>
        <w:t xml:space="preserve">. </w:t>
      </w:r>
      <w:r w:rsidR="00A4006B" w:rsidRPr="001A3DAA">
        <w:rPr>
          <w:sz w:val="24"/>
          <w:szCs w:val="24"/>
        </w:rPr>
        <w:t xml:space="preserve">The table below shows the relationship between conference registration, net income and </w:t>
      </w:r>
      <w:r w:rsidR="007F75AE">
        <w:rPr>
          <w:sz w:val="24"/>
          <w:szCs w:val="24"/>
        </w:rPr>
        <w:t>profit margin</w:t>
      </w:r>
      <w:r w:rsidR="00A4006B" w:rsidRPr="001A3DAA">
        <w:rPr>
          <w:sz w:val="24"/>
          <w:szCs w:val="24"/>
        </w:rPr>
        <w:t xml:space="preserve">. An </w:t>
      </w:r>
      <w:r w:rsidR="00624C2B">
        <w:rPr>
          <w:sz w:val="24"/>
          <w:szCs w:val="24"/>
        </w:rPr>
        <w:t xml:space="preserve">acceptable </w:t>
      </w:r>
      <w:r w:rsidR="007F75AE">
        <w:rPr>
          <w:sz w:val="24"/>
          <w:szCs w:val="24"/>
        </w:rPr>
        <w:t xml:space="preserve">conference </w:t>
      </w:r>
      <w:r w:rsidR="00624C2B">
        <w:rPr>
          <w:sz w:val="24"/>
          <w:szCs w:val="24"/>
        </w:rPr>
        <w:t xml:space="preserve">profit </w:t>
      </w:r>
      <w:r w:rsidR="00A4006B" w:rsidRPr="001A3DAA">
        <w:rPr>
          <w:sz w:val="24"/>
          <w:szCs w:val="24"/>
        </w:rPr>
        <w:t>balance</w:t>
      </w:r>
      <w:r w:rsidR="00624C2B">
        <w:rPr>
          <w:sz w:val="24"/>
          <w:szCs w:val="24"/>
        </w:rPr>
        <w:t>s</w:t>
      </w:r>
      <w:r w:rsidR="00A4006B" w:rsidRPr="001A3DAA">
        <w:rPr>
          <w:sz w:val="24"/>
          <w:szCs w:val="24"/>
        </w:rPr>
        <w:t xml:space="preserve"> meeting the expectations of </w:t>
      </w:r>
      <w:r w:rsidR="00624C2B">
        <w:rPr>
          <w:sz w:val="24"/>
          <w:szCs w:val="24"/>
        </w:rPr>
        <w:t xml:space="preserve">attendees </w:t>
      </w:r>
      <w:r w:rsidR="0075637E">
        <w:rPr>
          <w:sz w:val="24"/>
          <w:szCs w:val="24"/>
        </w:rPr>
        <w:t>while</w:t>
      </w:r>
      <w:r w:rsidR="007F75AE">
        <w:rPr>
          <w:sz w:val="24"/>
          <w:szCs w:val="24"/>
        </w:rPr>
        <w:t xml:space="preserve"> </w:t>
      </w:r>
      <w:r w:rsidR="00624C2B">
        <w:rPr>
          <w:sz w:val="24"/>
          <w:szCs w:val="24"/>
        </w:rPr>
        <w:t xml:space="preserve">providing operating </w:t>
      </w:r>
      <w:r w:rsidR="00A4006B" w:rsidRPr="001A3DAA">
        <w:rPr>
          <w:sz w:val="24"/>
          <w:szCs w:val="24"/>
        </w:rPr>
        <w:t>f</w:t>
      </w:r>
      <w:r w:rsidR="000B2F5F">
        <w:rPr>
          <w:sz w:val="24"/>
          <w:szCs w:val="24"/>
        </w:rPr>
        <w:t>unds for Chapter and S</w:t>
      </w:r>
      <w:r w:rsidR="00A4006B" w:rsidRPr="001A3DAA">
        <w:rPr>
          <w:sz w:val="24"/>
          <w:szCs w:val="24"/>
        </w:rPr>
        <w:t xml:space="preserve">ection programs. </w:t>
      </w:r>
    </w:p>
    <w:p w:rsidR="0015487B" w:rsidRPr="00BD16AE" w:rsidRDefault="0015487B" w:rsidP="0015487B">
      <w:pPr>
        <w:spacing w:after="0"/>
        <w:rPr>
          <w:sz w:val="24"/>
          <w:szCs w:val="24"/>
        </w:rPr>
      </w:pPr>
    </w:p>
    <w:tbl>
      <w:tblPr>
        <w:tblStyle w:val="GridTable4-Accent3"/>
        <w:tblW w:w="0" w:type="auto"/>
        <w:tblInd w:w="355" w:type="dxa"/>
        <w:tblLook w:val="04A0" w:firstRow="1" w:lastRow="0" w:firstColumn="1" w:lastColumn="0" w:noHBand="0" w:noVBand="1"/>
      </w:tblPr>
      <w:tblGrid>
        <w:gridCol w:w="2250"/>
        <w:gridCol w:w="2070"/>
        <w:gridCol w:w="1980"/>
        <w:gridCol w:w="1980"/>
      </w:tblGrid>
      <w:tr w:rsidR="00A4006B" w:rsidTr="003D1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525252" w:themeFill="accent3" w:themeFillShade="80"/>
          </w:tcPr>
          <w:p w:rsidR="00A4006B" w:rsidRPr="00706F83" w:rsidRDefault="00A4006B" w:rsidP="003D1F4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706F83">
              <w:rPr>
                <w:sz w:val="24"/>
                <w:szCs w:val="24"/>
              </w:rPr>
              <w:t>Conference</w:t>
            </w:r>
          </w:p>
        </w:tc>
        <w:tc>
          <w:tcPr>
            <w:tcW w:w="2070" w:type="dxa"/>
            <w:shd w:val="clear" w:color="auto" w:fill="525252" w:themeFill="accent3" w:themeFillShade="80"/>
          </w:tcPr>
          <w:p w:rsidR="00A4006B" w:rsidRPr="00706F83" w:rsidRDefault="00A4006B" w:rsidP="003D1F47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06F83">
              <w:rPr>
                <w:sz w:val="24"/>
                <w:szCs w:val="24"/>
              </w:rPr>
              <w:t>Registrations</w:t>
            </w:r>
          </w:p>
        </w:tc>
        <w:tc>
          <w:tcPr>
            <w:tcW w:w="1980" w:type="dxa"/>
            <w:shd w:val="clear" w:color="auto" w:fill="525252" w:themeFill="accent3" w:themeFillShade="80"/>
          </w:tcPr>
          <w:p w:rsidR="00A4006B" w:rsidRPr="00706F83" w:rsidRDefault="00A4006B" w:rsidP="003D1F47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 Income</w:t>
            </w:r>
          </w:p>
        </w:tc>
        <w:tc>
          <w:tcPr>
            <w:tcW w:w="1980" w:type="dxa"/>
            <w:shd w:val="clear" w:color="auto" w:fill="525252" w:themeFill="accent3" w:themeFillShade="80"/>
          </w:tcPr>
          <w:p w:rsidR="00A4006B" w:rsidRPr="00706F83" w:rsidRDefault="00A4006B" w:rsidP="003D1F47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06F83">
              <w:rPr>
                <w:sz w:val="24"/>
                <w:szCs w:val="24"/>
              </w:rPr>
              <w:t>Profit Margin</w:t>
            </w:r>
          </w:p>
        </w:tc>
      </w:tr>
      <w:tr w:rsidR="00A4006B" w:rsidTr="003D1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A4006B" w:rsidRPr="00706F83" w:rsidRDefault="00A4006B" w:rsidP="003D1F47">
            <w:pPr>
              <w:pStyle w:val="ListParagraph"/>
              <w:ind w:left="0"/>
              <w:rPr>
                <w:b w:val="0"/>
                <w:sz w:val="24"/>
                <w:szCs w:val="24"/>
              </w:rPr>
            </w:pPr>
            <w:r w:rsidRPr="00706F83">
              <w:rPr>
                <w:b w:val="0"/>
                <w:sz w:val="24"/>
                <w:szCs w:val="24"/>
              </w:rPr>
              <w:t>Visalia 2013</w:t>
            </w:r>
          </w:p>
        </w:tc>
        <w:tc>
          <w:tcPr>
            <w:tcW w:w="2070" w:type="dxa"/>
          </w:tcPr>
          <w:p w:rsidR="00A4006B" w:rsidRDefault="00A4006B" w:rsidP="003D1F4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</w:t>
            </w:r>
          </w:p>
        </w:tc>
        <w:tc>
          <w:tcPr>
            <w:tcW w:w="1980" w:type="dxa"/>
          </w:tcPr>
          <w:p w:rsidR="00A4006B" w:rsidRDefault="00A4006B" w:rsidP="003D1F4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$150,923</w:t>
            </w:r>
          </w:p>
        </w:tc>
        <w:tc>
          <w:tcPr>
            <w:tcW w:w="1980" w:type="dxa"/>
          </w:tcPr>
          <w:p w:rsidR="00A4006B" w:rsidRDefault="00A4006B" w:rsidP="003D1F4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41%</w:t>
            </w:r>
          </w:p>
        </w:tc>
      </w:tr>
      <w:tr w:rsidR="00A4006B" w:rsidTr="003D1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A4006B" w:rsidRPr="00706F83" w:rsidRDefault="00A4006B" w:rsidP="003D1F47">
            <w:pPr>
              <w:pStyle w:val="ListParagraph"/>
              <w:ind w:left="0"/>
              <w:rPr>
                <w:b w:val="0"/>
                <w:sz w:val="24"/>
                <w:szCs w:val="24"/>
              </w:rPr>
            </w:pPr>
            <w:r w:rsidRPr="00706F83">
              <w:rPr>
                <w:b w:val="0"/>
                <w:sz w:val="24"/>
                <w:szCs w:val="24"/>
              </w:rPr>
              <w:t>Anaheim 2014</w:t>
            </w:r>
          </w:p>
        </w:tc>
        <w:tc>
          <w:tcPr>
            <w:tcW w:w="2070" w:type="dxa"/>
          </w:tcPr>
          <w:p w:rsidR="00A4006B" w:rsidRDefault="00A4006B" w:rsidP="003D1F4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1,257</w:t>
            </w:r>
          </w:p>
        </w:tc>
        <w:tc>
          <w:tcPr>
            <w:tcW w:w="1980" w:type="dxa"/>
          </w:tcPr>
          <w:p w:rsidR="00A4006B" w:rsidRDefault="00A4006B" w:rsidP="003D1F4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$35,819</w:t>
            </w:r>
          </w:p>
        </w:tc>
        <w:tc>
          <w:tcPr>
            <w:tcW w:w="1980" w:type="dxa"/>
          </w:tcPr>
          <w:p w:rsidR="00A4006B" w:rsidRDefault="00A4006B" w:rsidP="003D1F4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A4006B" w:rsidTr="003D1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A4006B" w:rsidRPr="00706F83" w:rsidRDefault="00A4006B" w:rsidP="003D1F47">
            <w:pPr>
              <w:pStyle w:val="ListParagraph"/>
              <w:ind w:left="0"/>
              <w:rPr>
                <w:b w:val="0"/>
                <w:sz w:val="24"/>
                <w:szCs w:val="24"/>
              </w:rPr>
            </w:pPr>
            <w:r w:rsidRPr="00706F83">
              <w:rPr>
                <w:b w:val="0"/>
                <w:sz w:val="24"/>
                <w:szCs w:val="24"/>
              </w:rPr>
              <w:t>Oakland 2015</w:t>
            </w:r>
          </w:p>
        </w:tc>
        <w:tc>
          <w:tcPr>
            <w:tcW w:w="2070" w:type="dxa"/>
          </w:tcPr>
          <w:p w:rsidR="00A4006B" w:rsidRDefault="00A4006B" w:rsidP="003D1F4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1,590</w:t>
            </w:r>
          </w:p>
        </w:tc>
        <w:tc>
          <w:tcPr>
            <w:tcW w:w="1980" w:type="dxa"/>
          </w:tcPr>
          <w:p w:rsidR="00A4006B" w:rsidRDefault="00A4006B" w:rsidP="003D1F4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$135,932</w:t>
            </w:r>
          </w:p>
        </w:tc>
        <w:tc>
          <w:tcPr>
            <w:tcW w:w="1980" w:type="dxa"/>
          </w:tcPr>
          <w:p w:rsidR="00A4006B" w:rsidRDefault="00A4006B" w:rsidP="003D1F4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17%</w:t>
            </w:r>
          </w:p>
        </w:tc>
      </w:tr>
      <w:tr w:rsidR="00A4006B" w:rsidTr="003D1F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A4006B" w:rsidRPr="00706F83" w:rsidRDefault="00A4006B" w:rsidP="003D1F47">
            <w:pPr>
              <w:pStyle w:val="ListParagraph"/>
              <w:ind w:left="0"/>
              <w:rPr>
                <w:b w:val="0"/>
                <w:sz w:val="24"/>
                <w:szCs w:val="24"/>
              </w:rPr>
            </w:pPr>
            <w:r w:rsidRPr="00706F83">
              <w:rPr>
                <w:b w:val="0"/>
                <w:sz w:val="24"/>
                <w:szCs w:val="24"/>
              </w:rPr>
              <w:t>Pasadena 2016</w:t>
            </w:r>
          </w:p>
        </w:tc>
        <w:tc>
          <w:tcPr>
            <w:tcW w:w="2070" w:type="dxa"/>
          </w:tcPr>
          <w:p w:rsidR="00A4006B" w:rsidRDefault="00A4006B" w:rsidP="003D1F4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1,758</w:t>
            </w:r>
          </w:p>
        </w:tc>
        <w:tc>
          <w:tcPr>
            <w:tcW w:w="1980" w:type="dxa"/>
          </w:tcPr>
          <w:p w:rsidR="00A4006B" w:rsidRDefault="00A4006B" w:rsidP="003D1F4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$343,488</w:t>
            </w:r>
          </w:p>
        </w:tc>
        <w:tc>
          <w:tcPr>
            <w:tcW w:w="1980" w:type="dxa"/>
          </w:tcPr>
          <w:p w:rsidR="00A4006B" w:rsidRDefault="00A4006B" w:rsidP="003D1F47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</w:t>
            </w:r>
          </w:p>
        </w:tc>
      </w:tr>
      <w:tr w:rsidR="00A4006B" w:rsidTr="003D1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A4006B" w:rsidRPr="00706F83" w:rsidRDefault="00A4006B" w:rsidP="003D1F47">
            <w:pPr>
              <w:pStyle w:val="ListParagraph"/>
              <w:ind w:left="0"/>
              <w:rPr>
                <w:b w:val="0"/>
                <w:sz w:val="24"/>
                <w:szCs w:val="24"/>
              </w:rPr>
            </w:pPr>
            <w:r w:rsidRPr="00706F83">
              <w:rPr>
                <w:b w:val="0"/>
                <w:sz w:val="24"/>
                <w:szCs w:val="24"/>
              </w:rPr>
              <w:t>Sacramento 2017</w:t>
            </w:r>
          </w:p>
        </w:tc>
        <w:tc>
          <w:tcPr>
            <w:tcW w:w="2070" w:type="dxa"/>
          </w:tcPr>
          <w:p w:rsidR="00A4006B" w:rsidRDefault="00A4006B" w:rsidP="003D1F4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  <w:p w:rsidR="00A4006B" w:rsidRDefault="00A4006B" w:rsidP="003D1F4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(per budget)</w:t>
            </w:r>
          </w:p>
        </w:tc>
        <w:tc>
          <w:tcPr>
            <w:tcW w:w="1980" w:type="dxa"/>
          </w:tcPr>
          <w:p w:rsidR="00A4006B" w:rsidRDefault="00A4006B" w:rsidP="003D1F4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$158,942</w:t>
            </w:r>
          </w:p>
        </w:tc>
        <w:tc>
          <w:tcPr>
            <w:tcW w:w="1980" w:type="dxa"/>
          </w:tcPr>
          <w:p w:rsidR="00A4006B" w:rsidRDefault="00A4006B" w:rsidP="003D1F4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</w:p>
        </w:tc>
      </w:tr>
    </w:tbl>
    <w:p w:rsidR="00BD16AE" w:rsidRDefault="00BD16AE" w:rsidP="00611912">
      <w:pPr>
        <w:spacing w:after="0"/>
        <w:rPr>
          <w:i/>
          <w:sz w:val="24"/>
          <w:szCs w:val="24"/>
          <w:u w:val="single"/>
        </w:rPr>
      </w:pPr>
    </w:p>
    <w:p w:rsidR="00EB35EA" w:rsidRPr="00081717" w:rsidRDefault="006E06F1" w:rsidP="00081717">
      <w:pPr>
        <w:spacing w:after="24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While maintaining </w:t>
      </w:r>
      <w:r w:rsidR="000F3FA0">
        <w:rPr>
          <w:sz w:val="24"/>
          <w:szCs w:val="24"/>
        </w:rPr>
        <w:t xml:space="preserve">a minimum profit of $120,000, a </w:t>
      </w:r>
      <w:r>
        <w:rPr>
          <w:sz w:val="24"/>
          <w:szCs w:val="24"/>
        </w:rPr>
        <w:t>profit margin of</w:t>
      </w:r>
      <w:r w:rsidR="000F3FA0">
        <w:rPr>
          <w:sz w:val="24"/>
          <w:szCs w:val="24"/>
        </w:rPr>
        <w:t xml:space="preserve"> </w:t>
      </w:r>
      <w:r w:rsidR="00A6384F">
        <w:rPr>
          <w:sz w:val="24"/>
          <w:szCs w:val="24"/>
        </w:rPr>
        <w:t>20-</w:t>
      </w:r>
      <w:r w:rsidR="000F3FA0">
        <w:rPr>
          <w:sz w:val="24"/>
          <w:szCs w:val="24"/>
        </w:rPr>
        <w:t xml:space="preserve">25 percent would be an </w:t>
      </w:r>
      <w:r>
        <w:rPr>
          <w:sz w:val="24"/>
          <w:szCs w:val="24"/>
        </w:rPr>
        <w:t>appropriate g</w:t>
      </w:r>
      <w:r w:rsidR="000F3FA0">
        <w:rPr>
          <w:sz w:val="24"/>
          <w:szCs w:val="24"/>
        </w:rPr>
        <w:t xml:space="preserve">uideline </w:t>
      </w:r>
      <w:r>
        <w:rPr>
          <w:sz w:val="24"/>
          <w:szCs w:val="24"/>
        </w:rPr>
        <w:t>for larger conferences. For example, a conference with 1,500 registrants is estimated to generate about $750,000 in gross income (includes registration, sponsorships and other income</w:t>
      </w:r>
      <w:r w:rsidR="000F3FA0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="000F3FA0">
        <w:rPr>
          <w:sz w:val="24"/>
          <w:szCs w:val="24"/>
        </w:rPr>
        <w:t xml:space="preserve"> A </w:t>
      </w:r>
      <w:r w:rsidR="00081717">
        <w:rPr>
          <w:sz w:val="24"/>
          <w:szCs w:val="24"/>
        </w:rPr>
        <w:t xml:space="preserve">conference </w:t>
      </w:r>
      <w:r w:rsidR="000F3FA0">
        <w:rPr>
          <w:sz w:val="24"/>
          <w:szCs w:val="24"/>
        </w:rPr>
        <w:t xml:space="preserve">profit of </w:t>
      </w:r>
      <w:r w:rsidR="00685F88">
        <w:rPr>
          <w:sz w:val="24"/>
          <w:szCs w:val="24"/>
        </w:rPr>
        <w:t xml:space="preserve">$150,000 to </w:t>
      </w:r>
      <w:r w:rsidR="00A6384F">
        <w:rPr>
          <w:sz w:val="24"/>
          <w:szCs w:val="24"/>
        </w:rPr>
        <w:t>$</w:t>
      </w:r>
      <w:r w:rsidR="000F3FA0">
        <w:rPr>
          <w:sz w:val="24"/>
          <w:szCs w:val="24"/>
        </w:rPr>
        <w:t>18</w:t>
      </w:r>
      <w:r w:rsidR="00A6384F">
        <w:rPr>
          <w:sz w:val="24"/>
          <w:szCs w:val="24"/>
        </w:rPr>
        <w:t>7</w:t>
      </w:r>
      <w:r w:rsidR="000F3FA0">
        <w:rPr>
          <w:sz w:val="24"/>
          <w:szCs w:val="24"/>
        </w:rPr>
        <w:t>,000</w:t>
      </w:r>
      <w:r>
        <w:rPr>
          <w:sz w:val="24"/>
          <w:szCs w:val="24"/>
        </w:rPr>
        <w:t xml:space="preserve"> would be </w:t>
      </w:r>
      <w:r w:rsidR="00A6384F">
        <w:rPr>
          <w:sz w:val="24"/>
          <w:szCs w:val="24"/>
        </w:rPr>
        <w:t>a</w:t>
      </w:r>
      <w:r w:rsidR="000F3FA0">
        <w:rPr>
          <w:sz w:val="24"/>
          <w:szCs w:val="24"/>
        </w:rPr>
        <w:t xml:space="preserve"> </w:t>
      </w:r>
      <w:r w:rsidR="00685F88">
        <w:rPr>
          <w:sz w:val="24"/>
          <w:szCs w:val="24"/>
        </w:rPr>
        <w:t>suitable</w:t>
      </w:r>
      <w:r>
        <w:rPr>
          <w:sz w:val="24"/>
          <w:szCs w:val="24"/>
        </w:rPr>
        <w:t xml:space="preserve"> </w:t>
      </w:r>
      <w:r w:rsidR="0075637E">
        <w:rPr>
          <w:sz w:val="24"/>
          <w:szCs w:val="24"/>
        </w:rPr>
        <w:t>objective</w:t>
      </w:r>
      <w:r w:rsidR="00A80FAD">
        <w:rPr>
          <w:sz w:val="24"/>
          <w:szCs w:val="24"/>
        </w:rPr>
        <w:t xml:space="preserve"> and still provide </w:t>
      </w:r>
      <w:r w:rsidR="006872AC">
        <w:rPr>
          <w:sz w:val="24"/>
          <w:szCs w:val="24"/>
        </w:rPr>
        <w:t>the conference experience that attendees expect</w:t>
      </w:r>
      <w:r>
        <w:rPr>
          <w:sz w:val="24"/>
          <w:szCs w:val="24"/>
        </w:rPr>
        <w:t xml:space="preserve">. </w:t>
      </w:r>
    </w:p>
    <w:p w:rsidR="00C16AFA" w:rsidRDefault="00C16AFA" w:rsidP="00C16AFA">
      <w:pPr>
        <w:rPr>
          <w:sz w:val="24"/>
          <w:szCs w:val="24"/>
        </w:rPr>
      </w:pPr>
      <w:r>
        <w:rPr>
          <w:sz w:val="24"/>
          <w:szCs w:val="24"/>
        </w:rPr>
        <w:t>Attachments:</w:t>
      </w:r>
    </w:p>
    <w:p w:rsidR="00986279" w:rsidRPr="004D7125" w:rsidRDefault="00986279" w:rsidP="004D712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Conference Gross Income 2013-2017</w:t>
      </w:r>
    </w:p>
    <w:p w:rsidR="00986279" w:rsidRDefault="00986279" w:rsidP="0098627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Visalia 2013 – Allocation of Conference Gross Income</w:t>
      </w:r>
    </w:p>
    <w:p w:rsidR="00986279" w:rsidRDefault="00986279" w:rsidP="0098627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Anaheim 2014 - Allocation of Conference Gross Income</w:t>
      </w:r>
    </w:p>
    <w:p w:rsidR="00986279" w:rsidRDefault="00986279" w:rsidP="0098627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Oakland 2015 - Allocation of Conference Gross Income</w:t>
      </w:r>
    </w:p>
    <w:p w:rsidR="00986279" w:rsidRDefault="00986279" w:rsidP="0098627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Pasadena 2016 - Allocation of Conference Gross Income</w:t>
      </w:r>
    </w:p>
    <w:p w:rsidR="004A4BB8" w:rsidRPr="00A4006B" w:rsidRDefault="00986279" w:rsidP="003D1F4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4006B">
        <w:rPr>
          <w:sz w:val="24"/>
          <w:szCs w:val="24"/>
        </w:rPr>
        <w:t>Sacramento 2017 - Allocation of Conference Gross Income</w:t>
      </w:r>
      <w:r w:rsidR="0095085C">
        <w:rPr>
          <w:sz w:val="24"/>
          <w:szCs w:val="24"/>
        </w:rPr>
        <w:t xml:space="preserve"> (per budget)</w:t>
      </w:r>
    </w:p>
    <w:sectPr w:rsidR="004A4BB8" w:rsidRPr="00A4006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BF8" w:rsidRDefault="004D3BF8" w:rsidP="007214BA">
      <w:pPr>
        <w:spacing w:after="0" w:line="240" w:lineRule="auto"/>
      </w:pPr>
      <w:r>
        <w:separator/>
      </w:r>
    </w:p>
  </w:endnote>
  <w:endnote w:type="continuationSeparator" w:id="0">
    <w:p w:rsidR="004D3BF8" w:rsidRDefault="004D3BF8" w:rsidP="0072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61521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06F1" w:rsidRDefault="006E06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2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06F1" w:rsidRDefault="006E0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BF8" w:rsidRDefault="004D3BF8" w:rsidP="007214BA">
      <w:pPr>
        <w:spacing w:after="0" w:line="240" w:lineRule="auto"/>
      </w:pPr>
      <w:r>
        <w:separator/>
      </w:r>
    </w:p>
  </w:footnote>
  <w:footnote w:type="continuationSeparator" w:id="0">
    <w:p w:rsidR="004D3BF8" w:rsidRDefault="004D3BF8" w:rsidP="00721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FAB"/>
    <w:multiLevelType w:val="hybridMultilevel"/>
    <w:tmpl w:val="EB76D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2386E"/>
    <w:multiLevelType w:val="hybridMultilevel"/>
    <w:tmpl w:val="7BC0E5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E75EB"/>
    <w:multiLevelType w:val="hybridMultilevel"/>
    <w:tmpl w:val="FF643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97185"/>
    <w:multiLevelType w:val="hybridMultilevel"/>
    <w:tmpl w:val="2F3A3CC6"/>
    <w:lvl w:ilvl="0" w:tplc="282C64D8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166EE6"/>
    <w:multiLevelType w:val="hybridMultilevel"/>
    <w:tmpl w:val="FCD64654"/>
    <w:lvl w:ilvl="0" w:tplc="774626F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D5F08"/>
    <w:multiLevelType w:val="hybridMultilevel"/>
    <w:tmpl w:val="FDB01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65C12"/>
    <w:multiLevelType w:val="hybridMultilevel"/>
    <w:tmpl w:val="F6049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40D99"/>
    <w:multiLevelType w:val="hybridMultilevel"/>
    <w:tmpl w:val="B938289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E7A766D"/>
    <w:multiLevelType w:val="hybridMultilevel"/>
    <w:tmpl w:val="06C2A3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D7148"/>
    <w:multiLevelType w:val="hybridMultilevel"/>
    <w:tmpl w:val="3D5AFEAA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543002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D8F3337"/>
    <w:multiLevelType w:val="hybridMultilevel"/>
    <w:tmpl w:val="25B85D3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BC"/>
    <w:rsid w:val="00047945"/>
    <w:rsid w:val="00060E9F"/>
    <w:rsid w:val="00081717"/>
    <w:rsid w:val="0008710F"/>
    <w:rsid w:val="000877F2"/>
    <w:rsid w:val="000B12BE"/>
    <w:rsid w:val="000B2F5F"/>
    <w:rsid w:val="000B4CFD"/>
    <w:rsid w:val="000D53F1"/>
    <w:rsid w:val="000F3FA0"/>
    <w:rsid w:val="0015487B"/>
    <w:rsid w:val="00167EF3"/>
    <w:rsid w:val="001807FF"/>
    <w:rsid w:val="00194675"/>
    <w:rsid w:val="001A3DAA"/>
    <w:rsid w:val="001C55FA"/>
    <w:rsid w:val="002212EF"/>
    <w:rsid w:val="00251B0A"/>
    <w:rsid w:val="002608D1"/>
    <w:rsid w:val="002730FF"/>
    <w:rsid w:val="00274DFA"/>
    <w:rsid w:val="00283ACA"/>
    <w:rsid w:val="002875D1"/>
    <w:rsid w:val="002A147F"/>
    <w:rsid w:val="002C7D32"/>
    <w:rsid w:val="002D029E"/>
    <w:rsid w:val="002E1DA4"/>
    <w:rsid w:val="00334297"/>
    <w:rsid w:val="00337E8D"/>
    <w:rsid w:val="003625A1"/>
    <w:rsid w:val="0037006B"/>
    <w:rsid w:val="00380130"/>
    <w:rsid w:val="0038376B"/>
    <w:rsid w:val="003864A8"/>
    <w:rsid w:val="00395292"/>
    <w:rsid w:val="003D1F47"/>
    <w:rsid w:val="003F294B"/>
    <w:rsid w:val="00417F08"/>
    <w:rsid w:val="00437A81"/>
    <w:rsid w:val="00495702"/>
    <w:rsid w:val="004A4BB8"/>
    <w:rsid w:val="004D3BF8"/>
    <w:rsid w:val="004D7125"/>
    <w:rsid w:val="004F750A"/>
    <w:rsid w:val="00543063"/>
    <w:rsid w:val="0057589F"/>
    <w:rsid w:val="00585D7A"/>
    <w:rsid w:val="00597519"/>
    <w:rsid w:val="005A0F35"/>
    <w:rsid w:val="005B06A7"/>
    <w:rsid w:val="005B43E8"/>
    <w:rsid w:val="005E396B"/>
    <w:rsid w:val="00611912"/>
    <w:rsid w:val="00624C2B"/>
    <w:rsid w:val="00624FB7"/>
    <w:rsid w:val="00631CA7"/>
    <w:rsid w:val="00636521"/>
    <w:rsid w:val="0068346B"/>
    <w:rsid w:val="00685F88"/>
    <w:rsid w:val="006872AC"/>
    <w:rsid w:val="006B1C84"/>
    <w:rsid w:val="006B577B"/>
    <w:rsid w:val="006E06F1"/>
    <w:rsid w:val="006E0BA2"/>
    <w:rsid w:val="006E6A56"/>
    <w:rsid w:val="007051E3"/>
    <w:rsid w:val="00706F83"/>
    <w:rsid w:val="007214BA"/>
    <w:rsid w:val="00723A98"/>
    <w:rsid w:val="0075637E"/>
    <w:rsid w:val="00765213"/>
    <w:rsid w:val="007F75AE"/>
    <w:rsid w:val="008117D9"/>
    <w:rsid w:val="0081577B"/>
    <w:rsid w:val="00834991"/>
    <w:rsid w:val="00891CF3"/>
    <w:rsid w:val="008B3C08"/>
    <w:rsid w:val="008C09E0"/>
    <w:rsid w:val="008C6B7D"/>
    <w:rsid w:val="008D1F20"/>
    <w:rsid w:val="008E5489"/>
    <w:rsid w:val="0091687A"/>
    <w:rsid w:val="009303A6"/>
    <w:rsid w:val="0094083E"/>
    <w:rsid w:val="0095085C"/>
    <w:rsid w:val="00986279"/>
    <w:rsid w:val="009D36C2"/>
    <w:rsid w:val="009E5D81"/>
    <w:rsid w:val="00A1609A"/>
    <w:rsid w:val="00A25E8E"/>
    <w:rsid w:val="00A316B5"/>
    <w:rsid w:val="00A31FB0"/>
    <w:rsid w:val="00A4006B"/>
    <w:rsid w:val="00A50CEE"/>
    <w:rsid w:val="00A53E22"/>
    <w:rsid w:val="00A63734"/>
    <w:rsid w:val="00A6384F"/>
    <w:rsid w:val="00A80FAD"/>
    <w:rsid w:val="00AA67CB"/>
    <w:rsid w:val="00AB6A4B"/>
    <w:rsid w:val="00AC440C"/>
    <w:rsid w:val="00AD4397"/>
    <w:rsid w:val="00AD6884"/>
    <w:rsid w:val="00AF526D"/>
    <w:rsid w:val="00B029CA"/>
    <w:rsid w:val="00B03472"/>
    <w:rsid w:val="00B21EBA"/>
    <w:rsid w:val="00B34863"/>
    <w:rsid w:val="00B578A3"/>
    <w:rsid w:val="00B96338"/>
    <w:rsid w:val="00BD16AE"/>
    <w:rsid w:val="00C14925"/>
    <w:rsid w:val="00C16AFA"/>
    <w:rsid w:val="00C16DD4"/>
    <w:rsid w:val="00C45D9B"/>
    <w:rsid w:val="00C533F8"/>
    <w:rsid w:val="00C73C2C"/>
    <w:rsid w:val="00CB48DE"/>
    <w:rsid w:val="00CD27EF"/>
    <w:rsid w:val="00D0278F"/>
    <w:rsid w:val="00D16819"/>
    <w:rsid w:val="00D30C3B"/>
    <w:rsid w:val="00D45FB7"/>
    <w:rsid w:val="00D769AC"/>
    <w:rsid w:val="00D76DD0"/>
    <w:rsid w:val="00D76F80"/>
    <w:rsid w:val="00D91D6A"/>
    <w:rsid w:val="00DB30D0"/>
    <w:rsid w:val="00DC17E1"/>
    <w:rsid w:val="00DC52D0"/>
    <w:rsid w:val="00DE744D"/>
    <w:rsid w:val="00E666F7"/>
    <w:rsid w:val="00E9150A"/>
    <w:rsid w:val="00EB35EA"/>
    <w:rsid w:val="00EE2210"/>
    <w:rsid w:val="00F16CD2"/>
    <w:rsid w:val="00F663BC"/>
    <w:rsid w:val="00F67D3A"/>
    <w:rsid w:val="00FA5B23"/>
    <w:rsid w:val="00FB0F1E"/>
    <w:rsid w:val="00FB63CE"/>
    <w:rsid w:val="00F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B1AA"/>
  <w15:chartTrackingRefBased/>
  <w15:docId w15:val="{E683D7BD-125C-4009-8F2F-815A9B1D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0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4BA"/>
  </w:style>
  <w:style w:type="paragraph" w:styleId="Footer">
    <w:name w:val="footer"/>
    <w:basedOn w:val="Normal"/>
    <w:link w:val="FooterChar"/>
    <w:uiPriority w:val="99"/>
    <w:unhideWhenUsed/>
    <w:rsid w:val="00721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4BA"/>
  </w:style>
  <w:style w:type="table" w:styleId="TableGrid">
    <w:name w:val="Table Grid"/>
    <w:basedOn w:val="TableNormal"/>
    <w:uiPriority w:val="39"/>
    <w:rsid w:val="00A3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706F8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">
    <w:name w:val="Grid Table 5 Dark"/>
    <w:basedOn w:val="TableNormal"/>
    <w:uiPriority w:val="50"/>
    <w:rsid w:val="00706F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706F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624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360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 Hom</dc:creator>
  <cp:keywords/>
  <dc:description/>
  <cp:lastModifiedBy>Hanson Hom</cp:lastModifiedBy>
  <cp:revision>2</cp:revision>
  <dcterms:created xsi:type="dcterms:W3CDTF">2017-09-11T16:12:00Z</dcterms:created>
  <dcterms:modified xsi:type="dcterms:W3CDTF">2017-09-11T16:12:00Z</dcterms:modified>
</cp:coreProperties>
</file>