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0125F" w14:textId="77777777" w:rsidR="006F3751" w:rsidRDefault="006F3751">
      <w:pPr>
        <w:pStyle w:val="BodyText"/>
        <w:spacing w:before="9"/>
        <w:rPr>
          <w:i w:val="0"/>
          <w:sz w:val="18"/>
        </w:rPr>
      </w:pPr>
    </w:p>
    <w:p w14:paraId="5A8DB674" w14:textId="77777777" w:rsidR="006F3751" w:rsidRDefault="00AA2D9C">
      <w:pPr>
        <w:pStyle w:val="BodyText"/>
        <w:ind w:left="100"/>
        <w:rPr>
          <w:i w:val="0"/>
          <w:sz w:val="20"/>
        </w:rPr>
      </w:pPr>
      <w:r>
        <w:rPr>
          <w:i w:val="0"/>
          <w:noProof/>
          <w:sz w:val="20"/>
        </w:rPr>
        <w:drawing>
          <wp:inline distT="0" distB="0" distL="0" distR="0" wp14:anchorId="0151F702" wp14:editId="407DAE2A">
            <wp:extent cx="2898950" cy="101974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98950" cy="1019746"/>
                    </a:xfrm>
                    <a:prstGeom prst="rect">
                      <a:avLst/>
                    </a:prstGeom>
                  </pic:spPr>
                </pic:pic>
              </a:graphicData>
            </a:graphic>
          </wp:inline>
        </w:drawing>
      </w:r>
    </w:p>
    <w:p w14:paraId="099D6838" w14:textId="77777777" w:rsidR="006F3751" w:rsidRDefault="006F3751">
      <w:pPr>
        <w:pStyle w:val="BodyText"/>
        <w:rPr>
          <w:i w:val="0"/>
          <w:sz w:val="20"/>
        </w:rPr>
      </w:pPr>
    </w:p>
    <w:p w14:paraId="76B3EB48" w14:textId="77777777" w:rsidR="006F3751" w:rsidRDefault="006F3751">
      <w:pPr>
        <w:pStyle w:val="BodyText"/>
        <w:spacing w:before="10"/>
        <w:rPr>
          <w:i w:val="0"/>
          <w:sz w:val="19"/>
        </w:rPr>
      </w:pPr>
    </w:p>
    <w:p w14:paraId="01529A6D" w14:textId="77777777" w:rsidR="005D5391" w:rsidRDefault="00AA2D9C" w:rsidP="005D5391">
      <w:pPr>
        <w:pStyle w:val="Heading1"/>
        <w:tabs>
          <w:tab w:val="left" w:pos="1539"/>
        </w:tabs>
        <w:ind w:left="101" w:right="3816"/>
      </w:pPr>
      <w:r>
        <w:t>TO:</w:t>
      </w:r>
      <w:r>
        <w:tab/>
        <w:t xml:space="preserve">APA California Chapter Board </w:t>
      </w:r>
    </w:p>
    <w:p w14:paraId="2E3FC7EF" w14:textId="77777777" w:rsidR="005D5391" w:rsidRDefault="005D5391" w:rsidP="005D5391">
      <w:pPr>
        <w:pStyle w:val="Heading1"/>
        <w:tabs>
          <w:tab w:val="left" w:pos="1539"/>
        </w:tabs>
        <w:ind w:left="101" w:right="3816"/>
      </w:pPr>
    </w:p>
    <w:p w14:paraId="6F56192C" w14:textId="58FAF2C1" w:rsidR="006F3751" w:rsidRDefault="00AA2D9C" w:rsidP="005D5391">
      <w:pPr>
        <w:pStyle w:val="Heading1"/>
        <w:tabs>
          <w:tab w:val="left" w:pos="1539"/>
        </w:tabs>
        <w:ind w:left="101" w:right="3816"/>
      </w:pPr>
      <w:r>
        <w:t>FROM:</w:t>
      </w:r>
      <w:r>
        <w:tab/>
      </w:r>
      <w:r w:rsidR="0047110A">
        <w:t>Derek Wong, VP Administration</w:t>
      </w:r>
    </w:p>
    <w:p w14:paraId="3448F219" w14:textId="5FE5D764" w:rsidR="005D5391" w:rsidRDefault="005D5391" w:rsidP="0047110A">
      <w:pPr>
        <w:pStyle w:val="Heading1"/>
        <w:tabs>
          <w:tab w:val="left" w:pos="1539"/>
        </w:tabs>
        <w:spacing w:before="90" w:line="480" w:lineRule="auto"/>
        <w:ind w:right="3820"/>
      </w:pPr>
      <w:r>
        <w:tab/>
        <w:t>Sande George, Executive Director</w:t>
      </w:r>
    </w:p>
    <w:p w14:paraId="55109C1A" w14:textId="5F7562E4" w:rsidR="006F3751" w:rsidRDefault="00AA2D9C">
      <w:pPr>
        <w:tabs>
          <w:tab w:val="left" w:pos="1539"/>
        </w:tabs>
        <w:ind w:left="100"/>
        <w:rPr>
          <w:b/>
          <w:sz w:val="24"/>
        </w:rPr>
      </w:pPr>
      <w:r>
        <w:rPr>
          <w:b/>
          <w:sz w:val="24"/>
        </w:rPr>
        <w:t>DATE:</w:t>
      </w:r>
      <w:r>
        <w:rPr>
          <w:b/>
          <w:sz w:val="24"/>
        </w:rPr>
        <w:tab/>
      </w:r>
      <w:r w:rsidR="0047110A">
        <w:rPr>
          <w:b/>
          <w:sz w:val="24"/>
        </w:rPr>
        <w:t>January 22, 2021</w:t>
      </w:r>
    </w:p>
    <w:p w14:paraId="794179AB" w14:textId="77777777" w:rsidR="006F3751" w:rsidRDefault="006F3751">
      <w:pPr>
        <w:pStyle w:val="BodyText"/>
        <w:rPr>
          <w:b/>
          <w:i w:val="0"/>
        </w:rPr>
      </w:pPr>
    </w:p>
    <w:p w14:paraId="5FE5885C" w14:textId="3FED6BDE" w:rsidR="006F3751" w:rsidRDefault="00AA2D9C">
      <w:pPr>
        <w:tabs>
          <w:tab w:val="left" w:pos="1539"/>
        </w:tabs>
        <w:ind w:left="100"/>
        <w:rPr>
          <w:b/>
          <w:sz w:val="24"/>
        </w:rPr>
      </w:pPr>
      <w:r>
        <w:rPr>
          <w:b/>
          <w:sz w:val="24"/>
        </w:rPr>
        <w:t>SUBJECT:</w:t>
      </w:r>
      <w:r>
        <w:rPr>
          <w:b/>
          <w:sz w:val="24"/>
        </w:rPr>
        <w:tab/>
      </w:r>
      <w:r w:rsidR="00F46ACF">
        <w:rPr>
          <w:b/>
          <w:sz w:val="24"/>
        </w:rPr>
        <w:t>Cash Reserve Account</w:t>
      </w:r>
    </w:p>
    <w:p w14:paraId="03AD195A" w14:textId="77777777" w:rsidR="006F3751" w:rsidRDefault="006F3751">
      <w:pPr>
        <w:pStyle w:val="BodyText"/>
        <w:rPr>
          <w:b/>
          <w:i w:val="0"/>
          <w:sz w:val="26"/>
        </w:rPr>
      </w:pPr>
    </w:p>
    <w:p w14:paraId="22B242B3" w14:textId="77777777" w:rsidR="006F3751" w:rsidRDefault="006F3751">
      <w:pPr>
        <w:pStyle w:val="BodyText"/>
        <w:rPr>
          <w:b/>
          <w:i w:val="0"/>
          <w:sz w:val="22"/>
        </w:rPr>
      </w:pPr>
    </w:p>
    <w:p w14:paraId="2BB59EED" w14:textId="77777777" w:rsidR="006F3751" w:rsidRPr="00D57176" w:rsidRDefault="00AA2D9C">
      <w:pPr>
        <w:pStyle w:val="Heading2"/>
      </w:pPr>
      <w:r w:rsidRPr="00D57176">
        <w:rPr>
          <w:u w:val="single"/>
        </w:rPr>
        <w:t>Recommended Action</w:t>
      </w:r>
      <w:r w:rsidRPr="00D57176">
        <w:t>:</w:t>
      </w:r>
    </w:p>
    <w:p w14:paraId="719EB207" w14:textId="77777777" w:rsidR="006F3751" w:rsidRPr="00D57176" w:rsidRDefault="006F3751">
      <w:pPr>
        <w:pStyle w:val="BodyText"/>
        <w:spacing w:before="2"/>
        <w:rPr>
          <w:i w:val="0"/>
        </w:rPr>
      </w:pPr>
    </w:p>
    <w:p w14:paraId="7C6D50BE" w14:textId="4B560ED5" w:rsidR="00F46ACF" w:rsidRPr="00D57176" w:rsidRDefault="00B146E5" w:rsidP="00DF3B98">
      <w:pPr>
        <w:widowControl/>
        <w:adjustRightInd w:val="0"/>
        <w:ind w:left="90"/>
        <w:rPr>
          <w:rFonts w:eastAsiaTheme="minorHAnsi"/>
          <w:i/>
          <w:iCs/>
          <w:sz w:val="24"/>
          <w:szCs w:val="24"/>
        </w:rPr>
      </w:pPr>
      <w:r w:rsidRPr="00D57176">
        <w:rPr>
          <w:rFonts w:eastAsiaTheme="minorHAnsi"/>
          <w:i/>
          <w:iCs/>
          <w:sz w:val="24"/>
          <w:szCs w:val="24"/>
        </w:rPr>
        <w:t xml:space="preserve">Move to approve </w:t>
      </w:r>
      <w:r w:rsidR="00F46ACF" w:rsidRPr="00D57176">
        <w:rPr>
          <w:rFonts w:eastAsiaTheme="minorHAnsi"/>
          <w:i/>
          <w:iCs/>
          <w:sz w:val="24"/>
          <w:szCs w:val="24"/>
        </w:rPr>
        <w:t>opening of a cash reserve account through American Funds “</w:t>
      </w:r>
      <w:r w:rsidR="00F46ACF" w:rsidRPr="00D57176">
        <w:rPr>
          <w:i/>
          <w:iCs/>
          <w:sz w:val="24"/>
          <w:szCs w:val="24"/>
        </w:rPr>
        <w:t>30 Day Interest Yield Short Term Bond Fund Class A.”</w:t>
      </w:r>
    </w:p>
    <w:p w14:paraId="35D83510" w14:textId="77777777" w:rsidR="00F46ACF" w:rsidRPr="00D57176" w:rsidRDefault="00F46ACF" w:rsidP="00DF3B98">
      <w:pPr>
        <w:widowControl/>
        <w:adjustRightInd w:val="0"/>
        <w:ind w:left="90"/>
        <w:rPr>
          <w:rFonts w:eastAsiaTheme="minorHAnsi"/>
          <w:i/>
          <w:iCs/>
          <w:sz w:val="24"/>
          <w:szCs w:val="24"/>
        </w:rPr>
      </w:pPr>
    </w:p>
    <w:p w14:paraId="7662FF21" w14:textId="77777777" w:rsidR="006F3751" w:rsidRPr="00D57176" w:rsidRDefault="00AA2D9C" w:rsidP="00DF3B98">
      <w:pPr>
        <w:pStyle w:val="Heading2"/>
        <w:ind w:left="90"/>
        <w:jc w:val="both"/>
      </w:pPr>
      <w:r w:rsidRPr="00D57176">
        <w:rPr>
          <w:u w:val="single"/>
        </w:rPr>
        <w:t>Background</w:t>
      </w:r>
      <w:r w:rsidRPr="00D57176">
        <w:t>:</w:t>
      </w:r>
    </w:p>
    <w:p w14:paraId="4EE28DD9" w14:textId="77777777" w:rsidR="006F3751" w:rsidRPr="00D57176" w:rsidRDefault="006F3751" w:rsidP="00DF3B98">
      <w:pPr>
        <w:pStyle w:val="BodyText"/>
        <w:spacing w:before="2"/>
        <w:ind w:left="90"/>
        <w:rPr>
          <w:i w:val="0"/>
        </w:rPr>
      </w:pPr>
    </w:p>
    <w:p w14:paraId="00238761" w14:textId="08400BBB" w:rsidR="00F46ACF" w:rsidRPr="00D57176" w:rsidRDefault="00F46ACF" w:rsidP="00AF51DF">
      <w:pPr>
        <w:widowControl/>
        <w:autoSpaceDE/>
        <w:autoSpaceDN/>
        <w:ind w:left="90"/>
        <w:rPr>
          <w:sz w:val="24"/>
          <w:szCs w:val="24"/>
        </w:rPr>
      </w:pPr>
      <w:r w:rsidRPr="00D57176">
        <w:rPr>
          <w:sz w:val="24"/>
          <w:szCs w:val="24"/>
        </w:rPr>
        <w:t>The Chapter</w:t>
      </w:r>
      <w:r w:rsidR="00AF51DF" w:rsidRPr="00D57176">
        <w:rPr>
          <w:sz w:val="24"/>
          <w:szCs w:val="24"/>
        </w:rPr>
        <w:t>’</w:t>
      </w:r>
      <w:r w:rsidRPr="00D57176">
        <w:rPr>
          <w:sz w:val="24"/>
          <w:szCs w:val="24"/>
        </w:rPr>
        <w:t xml:space="preserve">s reserve funds are currently invested in the American Funds </w:t>
      </w:r>
      <w:r w:rsidR="00C23EB0">
        <w:rPr>
          <w:sz w:val="24"/>
          <w:szCs w:val="24"/>
        </w:rPr>
        <w:t>Income Fund of America Class A (AMECX).</w:t>
      </w:r>
      <w:r w:rsidR="00AF51DF" w:rsidRPr="00D57176">
        <w:rPr>
          <w:sz w:val="24"/>
          <w:szCs w:val="24"/>
        </w:rPr>
        <w:t xml:space="preserve"> The account is fairly conservative with exposure to both stocks and bonds, and could result in both gains and losses in the fund. In 2020, the fund delivered positive returns for the Chapter</w:t>
      </w:r>
      <w:r w:rsidR="00AA2D9C">
        <w:rPr>
          <w:sz w:val="24"/>
          <w:szCs w:val="24"/>
        </w:rPr>
        <w:t xml:space="preserve"> (13.51%)</w:t>
      </w:r>
      <w:r w:rsidR="00AF51DF" w:rsidRPr="00D57176">
        <w:rPr>
          <w:sz w:val="24"/>
          <w:szCs w:val="24"/>
        </w:rPr>
        <w:t xml:space="preserve">, mirroring the </w:t>
      </w:r>
      <w:r w:rsidR="00AA2D9C">
        <w:rPr>
          <w:sz w:val="24"/>
          <w:szCs w:val="24"/>
        </w:rPr>
        <w:t xml:space="preserve">general </w:t>
      </w:r>
      <w:r w:rsidR="00AF51DF" w:rsidRPr="00D57176">
        <w:rPr>
          <w:sz w:val="24"/>
          <w:szCs w:val="24"/>
        </w:rPr>
        <w:t>movement of the financial markets.</w:t>
      </w:r>
    </w:p>
    <w:p w14:paraId="6CAC15BD" w14:textId="20CAEC4C" w:rsidR="00AF51DF" w:rsidRPr="00D57176" w:rsidRDefault="00AF51DF" w:rsidP="00AF51DF">
      <w:pPr>
        <w:widowControl/>
        <w:autoSpaceDE/>
        <w:autoSpaceDN/>
        <w:ind w:left="90"/>
        <w:rPr>
          <w:sz w:val="24"/>
          <w:szCs w:val="24"/>
        </w:rPr>
      </w:pPr>
    </w:p>
    <w:p w14:paraId="23D7E42C" w14:textId="1C0EA8C0" w:rsidR="00AF51DF" w:rsidRPr="00D57176" w:rsidRDefault="00327F34" w:rsidP="00AF51DF">
      <w:pPr>
        <w:widowControl/>
        <w:autoSpaceDE/>
        <w:autoSpaceDN/>
        <w:ind w:left="90"/>
        <w:rPr>
          <w:sz w:val="24"/>
          <w:szCs w:val="24"/>
        </w:rPr>
      </w:pPr>
      <w:r>
        <w:rPr>
          <w:sz w:val="24"/>
          <w:szCs w:val="24"/>
        </w:rPr>
        <w:t>Currently, t</w:t>
      </w:r>
      <w:r w:rsidR="00AF51DF" w:rsidRPr="00D57176">
        <w:rPr>
          <w:sz w:val="24"/>
          <w:szCs w:val="24"/>
        </w:rPr>
        <w:t xml:space="preserve">he Chapter has two financial accounts, the </w:t>
      </w:r>
      <w:r>
        <w:rPr>
          <w:sz w:val="24"/>
          <w:szCs w:val="24"/>
        </w:rPr>
        <w:t xml:space="preserve">American Fund </w:t>
      </w:r>
      <w:r w:rsidR="00AF51DF" w:rsidRPr="00D57176">
        <w:rPr>
          <w:sz w:val="24"/>
          <w:szCs w:val="24"/>
        </w:rPr>
        <w:t xml:space="preserve">reserve fund and </w:t>
      </w:r>
      <w:r w:rsidR="0066589E" w:rsidRPr="00D57176">
        <w:rPr>
          <w:sz w:val="24"/>
          <w:szCs w:val="24"/>
        </w:rPr>
        <w:t xml:space="preserve">a Bank of America </w:t>
      </w:r>
      <w:r w:rsidR="00AF51DF" w:rsidRPr="00D57176">
        <w:rPr>
          <w:sz w:val="24"/>
          <w:szCs w:val="24"/>
        </w:rPr>
        <w:t xml:space="preserve">checking account. </w:t>
      </w:r>
      <w:r w:rsidR="00C71D3D" w:rsidRPr="00D57176">
        <w:rPr>
          <w:sz w:val="24"/>
          <w:szCs w:val="24"/>
        </w:rPr>
        <w:t xml:space="preserve">A new intermediate cash account with American Funds is proposed as a fund that provides </w:t>
      </w:r>
      <w:r>
        <w:rPr>
          <w:sz w:val="24"/>
          <w:szCs w:val="24"/>
        </w:rPr>
        <w:t>greater</w:t>
      </w:r>
      <w:r w:rsidR="00C71D3D" w:rsidRPr="00D57176">
        <w:rPr>
          <w:sz w:val="24"/>
          <w:szCs w:val="24"/>
        </w:rPr>
        <w:t xml:space="preserve"> safety </w:t>
      </w:r>
      <w:r>
        <w:rPr>
          <w:sz w:val="24"/>
          <w:szCs w:val="24"/>
        </w:rPr>
        <w:t xml:space="preserve">from market fluctuations </w:t>
      </w:r>
      <w:r w:rsidR="00C71D3D" w:rsidRPr="00D57176">
        <w:rPr>
          <w:sz w:val="24"/>
          <w:szCs w:val="24"/>
        </w:rPr>
        <w:t xml:space="preserve">than the current reserve account, but can generate more interest earnings than the checking account. For example, the 30 Day Interest Yield Short Term Bond Fund Class A (ASBAX) suggested by the financial advisor generated a return of 3.41% at the end of 2020 versus less than .05% for checking. </w:t>
      </w:r>
      <w:r w:rsidR="00D57176" w:rsidRPr="00D57176">
        <w:rPr>
          <w:sz w:val="24"/>
          <w:szCs w:val="24"/>
        </w:rPr>
        <w:t>The new account could hold earnings from the reserve account should the market experience drops, as well as serve as a liquid account between the checking and the reserve fund.</w:t>
      </w:r>
    </w:p>
    <w:p w14:paraId="0B5D4D7F" w14:textId="77777777" w:rsidR="00F46ACF" w:rsidRPr="00D57176" w:rsidRDefault="00F46ACF" w:rsidP="00F46ACF">
      <w:pPr>
        <w:widowControl/>
        <w:autoSpaceDE/>
        <w:autoSpaceDN/>
        <w:ind w:left="450" w:hanging="360"/>
        <w:rPr>
          <w:sz w:val="24"/>
          <w:szCs w:val="24"/>
        </w:rPr>
      </w:pPr>
    </w:p>
    <w:p w14:paraId="3A477BA8" w14:textId="12295FD2" w:rsidR="00F46ACF" w:rsidRPr="00D57176" w:rsidRDefault="00D57176" w:rsidP="00D57176">
      <w:pPr>
        <w:widowControl/>
        <w:autoSpaceDE/>
        <w:autoSpaceDN/>
        <w:ind w:left="90"/>
        <w:rPr>
          <w:sz w:val="24"/>
          <w:szCs w:val="24"/>
        </w:rPr>
      </w:pPr>
      <w:r w:rsidRPr="00D57176">
        <w:rPr>
          <w:sz w:val="24"/>
          <w:szCs w:val="24"/>
        </w:rPr>
        <w:t xml:space="preserve">The </w:t>
      </w:r>
      <w:r w:rsidR="00F46ACF" w:rsidRPr="00D57176">
        <w:rPr>
          <w:sz w:val="24"/>
          <w:szCs w:val="24"/>
        </w:rPr>
        <w:t>30 Day Interest Yield Short Term Bond Fund Class A (ASBAX): There is a minimal fee to buy into this fund, but its return is currently 3.41%.  This fund can go negative, but it has only done that one year during the recession.  In recent years the lowest the return was 2.94%. This is safer than our already very safe American Fund, but it won’t get the same return either. There is also no penalty on this one for withdrawals at any time. These are mostly Treasury bond funds.</w:t>
      </w:r>
    </w:p>
    <w:p w14:paraId="1B7E33EF" w14:textId="77777777" w:rsidR="006F3751" w:rsidRPr="00DF3B98" w:rsidRDefault="006F3751" w:rsidP="00327F34">
      <w:pPr>
        <w:pStyle w:val="BodyText"/>
      </w:pPr>
    </w:p>
    <w:p w14:paraId="01B0B0BF" w14:textId="0F8500AE" w:rsidR="006F3751" w:rsidRDefault="00AA2D9C" w:rsidP="005D5391">
      <w:pPr>
        <w:pStyle w:val="Heading2"/>
        <w:ind w:left="90"/>
        <w:jc w:val="both"/>
        <w:rPr>
          <w:i/>
          <w:sz w:val="16"/>
        </w:rPr>
      </w:pPr>
      <w:r w:rsidRPr="00DF3B98">
        <w:rPr>
          <w:u w:val="single"/>
        </w:rPr>
        <w:t>Fiscal Impact</w:t>
      </w:r>
      <w:r w:rsidRPr="00DF3B98">
        <w:t>:</w:t>
      </w:r>
    </w:p>
    <w:p w14:paraId="7D214B48" w14:textId="48E86602" w:rsidR="006F3751" w:rsidRDefault="00ED2A6C" w:rsidP="008C050A">
      <w:pPr>
        <w:pStyle w:val="BodyText"/>
        <w:spacing w:before="90"/>
        <w:ind w:left="100"/>
      </w:pPr>
      <w:r w:rsidRPr="00ED2A6C">
        <w:rPr>
          <w:i w:val="0"/>
          <w:iCs/>
        </w:rPr>
        <w:t>No fiscal impact</w:t>
      </w:r>
      <w:r w:rsidR="008C050A">
        <w:rPr>
          <w:i w:val="0"/>
          <w:iCs/>
        </w:rPr>
        <w:t>.</w:t>
      </w:r>
      <w:r w:rsidR="008C050A">
        <w:t xml:space="preserve"> </w:t>
      </w:r>
    </w:p>
    <w:sectPr w:rsidR="006F3751">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34B9C"/>
    <w:multiLevelType w:val="hybridMultilevel"/>
    <w:tmpl w:val="E4B24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51"/>
    <w:rsid w:val="000F4140"/>
    <w:rsid w:val="0026151F"/>
    <w:rsid w:val="00271147"/>
    <w:rsid w:val="002C41F9"/>
    <w:rsid w:val="00327F34"/>
    <w:rsid w:val="0047110A"/>
    <w:rsid w:val="005D5391"/>
    <w:rsid w:val="0064691C"/>
    <w:rsid w:val="0066589E"/>
    <w:rsid w:val="006F3751"/>
    <w:rsid w:val="00750666"/>
    <w:rsid w:val="00774248"/>
    <w:rsid w:val="00815498"/>
    <w:rsid w:val="00854BE3"/>
    <w:rsid w:val="008C050A"/>
    <w:rsid w:val="00913A64"/>
    <w:rsid w:val="00A93484"/>
    <w:rsid w:val="00AA2D9C"/>
    <w:rsid w:val="00AF51DF"/>
    <w:rsid w:val="00B146E5"/>
    <w:rsid w:val="00BE0896"/>
    <w:rsid w:val="00C23EB0"/>
    <w:rsid w:val="00C67B5A"/>
    <w:rsid w:val="00C71D3D"/>
    <w:rsid w:val="00D57176"/>
    <w:rsid w:val="00DF3B98"/>
    <w:rsid w:val="00ED2A6C"/>
    <w:rsid w:val="00F46ACF"/>
    <w:rsid w:val="00F6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FF32"/>
  <w15:docId w15:val="{63D9B283-11CB-439B-A8F4-998E6E02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5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1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66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Sande Stefan</cp:lastModifiedBy>
  <cp:revision>2</cp:revision>
  <dcterms:created xsi:type="dcterms:W3CDTF">2021-01-18T02:21:00Z</dcterms:created>
  <dcterms:modified xsi:type="dcterms:W3CDTF">2021-01-18T02:21:00Z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Nitro Pro  (11. 0. 3. 173)</vt:lpwstr>
  </property>
  <property fmtid="{D5CDD505-2E9C-101B-9397-08002B2CF9AE}" pid="4" name="LastSaved">
    <vt:filetime>2021-01-17T00:00:00Z</vt:filetime>
  </property>
</Properties>
</file>